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7B_73/2026 vom 3. Februar 2026</w:t>
      </w:r>
    </w:p>
    <w:p>
      <w:r>
        <w:t>Bundesgericht, 2026-02-03, FR</w:t>
      </w:r>
    </w:p>
    <w:p>
      <w:r>
        <w:rPr>
          <w:b/>
        </w:rPr>
        <w:t xml:space="preserve">Quelle: </w:t>
      </w:r>
      <w:r>
        <w:t>https://mcp.opencaselaw.ch/entscheid/bger_7B_73_2026</w:t>
      </w:r>
    </w:p>
    <w:p>
      <w:r>
        <w:t>FR: TF 7B_73/2026 du 3 février 2026</w:t>
      </w:r>
    </w:p>
    <w:p>
      <w:r>
        <w:t>IT: TF 7B_73/2026 del 3 febbraio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 cour cantonale a retenu que, dans le cadre de la procédure pénale dirigée contre lui pour injure et pour violence ou menace contre les autorités et les fonctionnaires, le recourant avait tenu des propos qui étaient peu communs et paraissaient confus. Il avait déclaré qu'il aurait fait appel à des détectives, qu'on lui aurait injecté un liquide, que l'on serait sous écoute et que le canton de Vaud voudrait le détruire psychologiquement. En outre, son frère avait indiqué que le recourant avait changé depuis son accident, qu'il ne lui accorderait plus sa confiance, qu'il exprimait un ressentiment généralisé envers autrui et s'était isolé socialement. Ces éléments constituaient des indices sérieux qui justifiaient la mise en oeuvre de l'expertise psychiatrique ordonnée nonobstant les arguments avancés par le recourant (cf. art. 182 CPP ). Une telle expertise respectait par ailleurs le principe de la proportionnalité, dans la mesure où les menaces proférées par le recourant étaient suffisamment graves pour que la question d'un éventuel passage à l'acte puisse se poser (cf. arrêt attaqué, consid. 2.3 p. 8 s.).</w:t>
      </w:r>
    </w:p>
    <w:p>
      <w:r>
        <w:rPr>
          <w:b/>
        </w:rPr>
        <w:t>E. 1.3</w:t>
      </w:r>
    </w:p>
    <w:p>
      <w:r>
        <w:t>Face à la motivation cantonale, le recourant se borne à soutenir que les faits auraient été "établis de manière incomplète, disproportionnée et infondée", et nie "pleinement" les propos qui lui sont reprochés. Il ajoute qu'il poursuivrait légitimement une "quête de justice" ensuite d'une erreur médicale qu'il aurait subie il y a plus de 20 ans et que cela ne justifierait pas l'expertise psychiatrique ordonnée, qui n'avait pas lieu d'être.</w:t>
      </w:r>
    </w:p>
    <w:p>
      <w:r>
        <w:t>Ce faisant, le recourant n'articule aucune critique, conforme aux exigences en la matière, propre à démontrer que l'autorité précédente aurait violé le droit fédéral en rejetant son recours cantonal. Il n'expose en particulier pas en quoi le Tribunal fédéral devrait s'écarter des constatations de fait de l'arrêt attaqué, par lesquelles il est lié (cf. art. 105 al. 1 LTF ) à moins qu'elles aient été établies en violation du droit ou de manière manifestement inexacte au sens des art. 97 al. 1 et 105 al. 2 LTF, soit pour l'essentiel de façon arbitraire au sens de l' art. 9 Cst. ( art. 106 al. 2 LTF ; ATF 148 IV 409 consid. 2.2; 147 IV 73 consid. 4.1.2). Tout renvoi du recourant à des écritures antérieures, voire à un "dossier regroupant [s]on combat dans [s]a quête de justice", ne satisfait en tout état pas aux exigences de motivation (cf. ATF 143 IV 122 consid. 3.3; 141 V 416 consid. 4; 138 IV 47 consid. 2.8.1).</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