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7B_730/2024 vom 19. Juli 2024</w:t>
      </w:r>
    </w:p>
    <w:p>
      <w:r>
        <w:t>Bundesgericht, 2024-07-19, DE</w:t>
      </w:r>
    </w:p>
    <w:p>
      <w:r>
        <w:rPr>
          <w:b/>
        </w:rPr>
        <w:t xml:space="preserve">Quelle: </w:t>
      </w:r>
      <w:r>
        <w:t>https://mcp.opencaselaw.ch/entscheid/bger_7B_730_2024</w:t>
      </w:r>
    </w:p>
    <w:p>
      <w:r>
        <w:t>FR: TF 7B_730/2024 du 19 juillet 2024</w:t>
      </w:r>
    </w:p>
    <w:p>
      <w:r>
        <w:t>IT: TF 7B_730/2024 del 19 luglio 2024</w:t>
      </w:r>
    </w:p>
    <w:p>
      <w:pPr>
        <w:pStyle w:val="Heading2"/>
      </w:pPr>
      <w:r>
        <w:t>Erwägungen</w:t>
      </w:r>
    </w:p>
    <w:p>
      <w:r>
        <w:rPr>
          <w:b/>
        </w:rPr>
        <w:t>E. 1</w:t>
      </w:r>
    </w:p>
    <w:p>
      <w:r>
        <w:t>Die Staatsanwaltschaft des Kantons Schwyz führt eine Strafuntersuchung gegen A.________ wegen Fahrens ohne Berechtigung, ohne Haftpflichtversicherung und ohne Typengenehmigung. Mit Verfügung vom 30. November 2023 beschlagnahmte die Staatsanwaltschaft bei A.________ einen Elektroroller der Marke LUYUAN Cross MXD-FS7220-G1. Mit Beschluss vom 31. Mai 2024 wies das Kantonsgericht des Kantons Schwyz die von A.________ gegen die Beschlagnahmeverfügung erhobene Beschwerde ab.</w:t>
      </w:r>
    </w:p>
    <w:p>
      <w:r>
        <w:rPr>
          <w:b/>
        </w:rPr>
        <w:t>E. 2</w:t>
      </w:r>
    </w:p>
    <w:p>
      <w:r>
        <w:t>Mit Eingabe vom 1. Juli 2024 führt A.________ Beschwerde in Strafsachen an das Bundesgericht. Sinngemäss beantragt er die Aufhebung des Beschlusses des Kantonsgerichts vom 31. Mai 2024.</w:t>
      </w:r>
    </w:p>
    <w:p>
      <w:r>
        <w:t>Es wurden keine Vernehmlassungen eingeholt.</w:t>
      </w:r>
    </w:p>
    <w:p>
      <w:r>
        <w:rPr>
          <w:b/>
        </w:rPr>
        <w:t>E. 3</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4</w:t>
      </w:r>
    </w:p>
    <w:p>
      <w:r>
        <w:t>Im angefochtenen Beschluss führt die Vorinstanz in Auseinandersetzung mit der bundesgerichtlichen Rechtsprechung detailliert aus, weshalb sie die gesetzlichen Voraussetzungen für eine Beschlagnahme gestützt auf Art. 90a Abs. 1 SVG als erfüllt und die Zwangsmassnahme als verhältnismässig erachtet (E. 3 des angefochtenen Beschlusses). Mit den entsprechenden Erwägungen setzt sich der Beschwerdeführer nicht ansatzweise auseinander, sondern schildert er in einzelnen Punkten aus seiner Betrachtungsweise alternative Sachverhaltselemente. Zur rechtlichen Würdigung der Vorinstanz äussert er sich mit keinem Wort. Mit solcher appellatorischer Kritik ohne Bezugnahme zur Argumentation der Vorinstanz vermag der Beschwerdeführer von vornherein nicht konkret aufzuzeigen, inwiefern deren Begründung rechtswidrig sein soll. Die Beschwerde genügt den vorgenannten gesetzlichen Formerfordernissen somit offensichtlich nicht, weshalb auf sie im vereinfachten Verfahren nach Art. 108 Abs. 1 lit. b BGG nicht einzutreten ist. Angesichts der konkreten Umstände ist ausnahmsweise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