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7B_722/2024 vom 24. Juli 2024</w:t>
      </w:r>
    </w:p>
    <w:p>
      <w:r>
        <w:t>Bundesgericht, 2024-07-24, DE</w:t>
      </w:r>
    </w:p>
    <w:p>
      <w:r>
        <w:rPr>
          <w:b/>
        </w:rPr>
        <w:t xml:space="preserve">Quelle: </w:t>
      </w:r>
      <w:r>
        <w:t>https://mcp.opencaselaw.ch/entscheid/bger_7B_722_2024</w:t>
      </w:r>
    </w:p>
    <w:p>
      <w:r>
        <w:t>FR: TF 7B_722/2024 du 24 juillet 2024</w:t>
      </w:r>
    </w:p>
    <w:p>
      <w:r>
        <w:t>IT: TF 7B_722/2024 del 24 luglio 2024</w:t>
      </w:r>
    </w:p>
    <w:p>
      <w:pPr>
        <w:pStyle w:val="Heading2"/>
      </w:pPr>
      <w:r>
        <w:t>Erwägungen</w:t>
      </w:r>
    </w:p>
    <w:p>
      <w:r>
        <w:rPr>
          <w:b/>
        </w:rPr>
        <w:t>E. 1</w:t>
      </w:r>
    </w:p>
    <w:p>
      <w:r>
        <w:t>Die Staatsanwaltschaft des Kantons Luzern führt eine Strafuntersuchung gegen A.________ wegen mehrfacher versuchter vorsätzlicher Tötung. Mit Verfügung vom 4. Juni 2024 ordnete das Zwangsmassnahmengericht des Kantons Luzern auf Antrag der Staatsanwaltschaft Sicherheitshaft gegen A.________ bis zum 26. August 2024 an. Auf die dagegen von A.________ erhobene Beschwerde trat das Kantonsgericht Luzern mit Verfügung vom 19. Juni 2024 nicht ein. Gegen die Verfügung des Kantonsgerichts führt A.________ mit Eingabe vom 29. Juni 2024 Beschwerde in Strafsachen an das Bundesgericht und beantragt seine sofortige Haftentlassung. Das Bundesgericht verzichtet auf die Einholung von Vernehmlassungen.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setzt sich in seiner weitschweifigen Beschwerdeschrift nicht mit der Begründung der Vorinstanz auseinander, die zum Nichteintreten auf seine Beschwerde führte. Er zeigt nicht nachvollziehbar auf, inwiefern die Vorinstanz seine Beschwerde rechts- bzw. verfassungswidrig behandelt haben sollte, als sie zum Schluss kam, die Begründung der Beschwerde erweise sich als offensichtlich ungenügend. Der Beschwerdeführer beschränkt sich darauf, zu behaupten, dass keine Fluchtgefahr vorliege, da er sich um seinen Sohn kümmern wolle und stellt betreffend den dringenden Tatverdacht seine Sicht der Dinge dar. Mit dieser appellatorischen Kritik vermag der Beschwerdeführer aber, wie erwähnt, nicht aufzuzeigen, dass die Begründung der Vorinstanz, welche zum Nichteintreten geführt hat, rechts- bzw. verfassungswidrig sein soll. Die Beschwerde genügt damit den dargelegten gesetzlichen Formerfordernissen offensichtlich nicht, weshalb auf sie im vereinfachten Verfahren nach Art. 108 Abs. 1 BGG nicht einzutreten ist.</w:t>
      </w:r>
    </w:p>
    <w:p>
      <w:r>
        <w:rPr>
          <w:b/>
        </w:rPr>
        <w:t>E. 4</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