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7B_720/2025 vom 13. August 2025</w:t>
      </w:r>
    </w:p>
    <w:p>
      <w:r>
        <w:t>Bundesgericht, 2025-08-13, FR</w:t>
      </w:r>
    </w:p>
    <w:p>
      <w:r>
        <w:rPr>
          <w:b/>
        </w:rPr>
        <w:t xml:space="preserve">Quelle: </w:t>
      </w:r>
      <w:r>
        <w:t>https://mcp.opencaselaw.ch/entscheid/bger_7B_720_2025</w:t>
      </w:r>
    </w:p>
    <w:p>
      <w:r>
        <w:t>FR: TF 7B_720/2025 du 13 août 2025</w:t>
      </w:r>
    </w:p>
    <w:p>
      <w:r>
        <w:t>IT: TF 7B_720/2025 del 13 agosto 2025</w:t>
      </w:r>
    </w:p>
    <w:p>
      <w:pPr>
        <w:pStyle w:val="Heading2"/>
      </w:pPr>
      <w:r>
        <w:t>Erwägungen</w:t>
      </w:r>
    </w:p>
    <w:p>
      <w:r>
        <w:rPr>
          <w:b/>
        </w:rPr>
        <w:t>E. 1.1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arrêts 7B_889/2023 du 20 février 2025 consid. 4.2.2; 7B_24/2023 du 22 février 2024 consid. 3.1). Le Tribunal fédéral n'entre en matière sur de tels moyens que s'ils ont été invoqués et motivés de manière précise ( art. 106 al. 2 LTF ). Les critiques de nature appellatoire sont irrecevables ( ATF 145 IV 154 consid. 1.1).</w:t>
      </w:r>
    </w:p>
    <w:p>
      <w:r>
        <w:rPr>
          <w:b/>
        </w:rPr>
        <w:t>E. 1.2</w:t>
      </w:r>
    </w:p>
    <w:p>
      <w:r>
        <w:t>En l'occurrence, les juges cantonaux ont constaté que les déclarations des parties étaient contradictoires et que les personnes entendues n'avaient pas apporté d'éléments susceptibles de privilégier une version par rapport à l'autre. Ils ont en outre considéré qu'aucun acte d'enquête n'était à même d'apporter la preuve de la commission d'une infraction; tel était notamment le cas de la réquisition de preuve de la recourante tendant à ce qu'elle soit à nouveau auditionnée. C'est pourquoi ils ont confirmé l'ordonnance de non-entrée en matière litigieuse.</w:t>
      </w:r>
    </w:p>
    <w:p>
      <w:r>
        <w:t>Dans son recours, la recourante, qui ne dit mot sur les conséquences que l'arrêt attaqué pourrait avoir sur ses prétentions civiles (cf. art. 81 al. 1 let. a et b. ch. 5 LTF; arrêt 7B_1425/2024 du 21 juillet 2025 consid. 2.1), se contente, en substance, de répéter sa version des faits et de réitérer sa réquisition de preuve tendant à ce que les parties soient auditionnées. Elle ne prétend toutefois aucunement, ni a fortiori ne démontre, que les juges cantonaux se seraient arbitrairement écartés d'un moyen de preuve clair ou auraient arbitrairement tenu un fait pour clairement établi. Son argumentation n'est pas de nature à démontrer l'existence d'une violation du droit fédéral ( art. 42 al. 1 et 2 LTF ) et encore moins celle d'un droit fondamental ( art. 106 al. 2 LTF ).</w:t>
      </w:r>
    </w:p>
    <w:p>
      <w:r>
        <w:rPr>
          <w:b/>
        </w:rPr>
        <w:t>E. 2</w:t>
      </w:r>
    </w:p>
    <w:p>
      <w:r>
        <w:t>L'irrecevabilité manifeste du recours doit dès lors être constatée dans la procédure prévue par l' art. 108 al. 1 let. b LTF .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