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7B_71/2025 vom 13. März 2025</w:t>
      </w:r>
    </w:p>
    <w:p>
      <w:r>
        <w:t>Bundesgericht, 2025-03-13, DE</w:t>
      </w:r>
    </w:p>
    <w:p>
      <w:r>
        <w:rPr>
          <w:b/>
        </w:rPr>
        <w:t xml:space="preserve">Quelle: </w:t>
      </w:r>
      <w:r>
        <w:t>https://mcp.opencaselaw.ch/entscheid/bger_7B_71_2025</w:t>
      </w:r>
    </w:p>
    <w:p>
      <w:r>
        <w:t>FR: TF 7B_71/2025 du 13 mars 2025</w:t>
      </w:r>
    </w:p>
    <w:p>
      <w:r>
        <w:t>IT: TF 7B_71/2025 del 13 marzo 2025</w:t>
      </w:r>
    </w:p>
    <w:p>
      <w:pPr>
        <w:pStyle w:val="Heading2"/>
      </w:pPr>
      <w:r>
        <w:t>Erwägungen</w:t>
      </w:r>
    </w:p>
    <w:p>
      <w:r>
        <w:rPr>
          <w:b/>
        </w:rPr>
        <w:t>E. 1.1</w:t>
      </w:r>
    </w:p>
    <w:p>
      <w:r>
        <w:t>Die Beschwerde hat ein Begehren und eine Begründung zu enthalten ( Art. 42 Abs. 1 BGG ). 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1.2</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(zum Ganzen: Urteile 7B_1201/2024 vom 22. Januar 2025 E. 1.2; 7B_182/2024 vom 26. März 2024 E. 2.1.2; 7B_18/2024 vom 14. März 2024 E. 2; je mit Hinweisen).</w:t>
      </w:r>
    </w:p>
    <w:p>
      <w:r>
        <w:rPr>
          <w:b/>
        </w:rPr>
        <w:t>E. 1.3</w:t>
      </w:r>
    </w:p>
    <w:p>
      <w:r>
        <w:t>Die Begründung muss in der Beschwerde selbst enthalten sein; der blosse Verweis auf Ausführungen in anderen Rechtsschriften oder auf die Akten reicht nicht aus ( BGE 144 V 173 E. 3.2.2; 143 IV 122 E. 3.3; 140 III 115 E. 2; je mit Hinweisen).</w:t>
      </w:r>
    </w:p>
    <w:p>
      <w:r>
        <w:rPr>
          <w:b/>
        </w:rPr>
        <w:t>E. 2.1</w:t>
      </w:r>
    </w:p>
    <w:p>
      <w:r>
        <w:t>Der Beschwerdeführer wendet sich mit seinem Hauptantrag nicht explizit gegen den angefochtenen Beschluss der Vorinstanz. Aus der Beschwerdebegründung, die zur Auslegung der Rechtsbegehren heranzuziehen ist ( BGE 137 II 313 E. 1.3; 137 III 617 E. 6.2 mit Hinweisen), ergibt sich, dass der Beschwerdeführer mit der Beschwerde die Aufhebung des angefochtenen Beschlusses und letztlich die Durchführung einer Strafuntersuchung gemäss seiner Anzeige vom 6. März 2024 erwirken will, was die Aufhebung des angefochtenen Beschlusses voraussetzt. Die Rechtsbegehren sind in diesem Sinne zu interpretieren.</w:t>
      </w:r>
    </w:p>
    <w:p>
      <w:r>
        <w:rPr>
          <w:b/>
        </w:rPr>
        <w:t>E. 2.2</w:t>
      </w:r>
    </w:p>
    <w:p>
      <w:r>
        <w:t>Der Beschwerdeführer geht mit keinem Wort auf seine Sachlegitimation ein, das heisst, dass und inwiefern ihm ein Zivilanspruch im Sinne von Art. 81 Abs. 1 lit. b Ziff. 5 BGG zustehen soll. Im Verfahren vor Bundesgericht ist nach ständiger Rechtsprechung detailliert aufzuzeigen, aus welchen Gründen und inwiefern sich der angefochtene Beschluss auf welchen konkreten Zivilanspruch auswirken kann - namentlich unter hinreichender Darlegung der entsprechenden Anspruchsvoraussetzungen (siehe die Nachweise in E. 1.2 hiervor). Dies unterbleibt in der Beschwerde vollständig.</w:t>
      </w:r>
    </w:p>
    <w:p>
      <w:r>
        <w:rPr>
          <w:b/>
        </w:rPr>
        <w:t>E. 2.3</w:t>
      </w:r>
    </w:p>
    <w:p>
      <w:r>
        <w:t>Im Sinne der in ständiger Rechtsprechung angewandten Ausnahmebestimmung von den Begründungsanforderungen abzusehen (vgl. E. 1.2 hiervor), ist vorliegend nicht angezeigt. Zwar wäre, gerade im vorliegend relevanten Kontext, grundsätzlich denkbar, dass die psychische Integrität des Beschwerdeführers verletzt wurde - allenfalls gar im Ausmass einer einfachen oder schweren Körperverletzung (vgl. zur Erfassung psychischer Verletzung als Körperverletzungen im Sinne von Art. 122 f. StGB: PATRICK VOGLER, Der Schockschaden im Strafrecht, 2020, S. 31 ff.). Eine solche Beeinträchtigung der psychischen Integrität kann hier jedoch nicht ohne konkrete Anhaltspunkte angenommen werden. In der Beschwerde finden sich - weder unter ausdrücklicher Bezugnahme auf die Star-Praxis, was von einem anwaltlich vertretenen Beschwerdeführer erwartet werden dürfte, noch in anderem Zusammenhang - entsprechende Vorbringen, etwa dass der Beschwerdeführer aufgrund der vermeintlichen Drohung in seiner Alltagsgestaltung (erheblich) eingeschränkt gewesen sei, sich verfolgt gefühlt habe, nachts nur noch in Begleitung aus dem Haus gegangen sei oder Ähnliches. Die Ernsthaftigkeit der Drohung ist vorliegend nicht hinreichend deutlich erkennbar - auch mit Blick auf die entsprechenden materiellen Erwägungen der Vorinstanz (angefochtener Beschluss E. II.4.1-E. II.4.5), wenngleich diese an dieser Stelle nicht umfassend geprüft werden muss. Eine unmittelbare Beeinträchtigung der körperlichen oder psychischen Integrität kann nicht angenommen werden.</w:t>
      </w:r>
    </w:p>
    <w:p>
      <w:r>
        <w:rPr>
          <w:b/>
        </w:rPr>
        <w:t>E. 2.4</w:t>
      </w:r>
    </w:p>
    <w:p>
      <w:r>
        <w:t>Insgesamt kommt der Beschwerdeführer den Begründungsanforderungen hinsichtlich der Beschwerdelegitimation offensichtlich nicht hinreichend nach. Auf die Beschwerde ist nicht einzutreten.</w:t>
      </w:r>
    </w:p>
    <w:p>
      <w:r>
        <w:rPr>
          <w:b/>
        </w:rPr>
        <w:t>E. 3</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(vgl. Urteile 7B_751/2024 vom 27. November 2024 E. 3.1; 7B_219/2023 vom 20. Juni 2024 E. 1.2;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