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7B_718/2023 vom 21. November 2023</w:t>
      </w:r>
    </w:p>
    <w:p>
      <w:r>
        <w:t>Bundesgericht, 2023-11-21, FR</w:t>
      </w:r>
    </w:p>
    <w:p>
      <w:r>
        <w:rPr>
          <w:b/>
        </w:rPr>
        <w:t xml:space="preserve">Quelle: </w:t>
      </w:r>
      <w:r>
        <w:t>https://mcp.opencaselaw.ch/entscheid/bger_7B_718_2023</w:t>
      </w:r>
    </w:p>
    <w:p>
      <w:r>
        <w:t>FR: TF 7B_718/2023 du 21 novembre 2023</w:t>
      </w:r>
    </w:p>
    <w:p>
      <w:r>
        <w:t>IT: TF 7B_718/2023 del 21 novembre 2023</w:t>
      </w:r>
    </w:p>
    <w:p>
      <w:pPr>
        <w:pStyle w:val="Heading2"/>
      </w:pPr>
      <w:r>
        <w:t>Erwägungen</w:t>
      </w:r>
    </w:p>
    <w:p>
      <w:r>
        <w:rPr>
          <w:b/>
        </w:rPr>
        <w:t>E. 1</w:t>
      </w:r>
    </w:p>
    <w:p>
      <w:r>
        <w:t>Le présent arrêt est rendu dans la langue de la décision attaquée, soit en l'occurrence le français. Quand bien même les recours sont rédigés en allemand, il n'y a pas de raison suffisante pour s'écarter de la règle de l' art. 54 al. 1 LTF .</w:t>
      </w:r>
    </w:p>
    <w:p>
      <w:r>
        <w:rPr>
          <w:b/>
        </w:rPr>
        <w:t>E. 2</w:t>
      </w:r>
    </w:p>
    <w:p>
      <w:r>
        <w:t>Les recours dans les causes 7B_718/2023, 7B_721/2023, 7B_722/2023 et 7B_723/2023, rédigés pour l'essentiel en des termes identiques, sont dirigés contre la même "décision". Partant et pour des raisons d'économie de procédure, il se justifie de joindre ces causes et de statuer dans un seul arrêt ( art. 24 al. 3 PCF , applicable par analogie vu le renvoi de l' art. 71 LTF ).</w:t>
      </w:r>
    </w:p>
    <w:p>
      <w:r>
        <w:rPr>
          <w:b/>
        </w:rPr>
        <w:t>E. 3</w:t>
      </w:r>
    </w:p>
    <w:p>
      <w:r>
        <w:t>Le point de savoir si E.________ peut valablement agir au Tribunal fédéral au nom des recourantes souffre de demeurer indécis, pour les motifs qui suivent.</w:t>
      </w:r>
    </w:p>
    <w:p>
      <w:r>
        <w:rPr>
          <w:b/>
        </w:rPr>
        <w:t>E. 4.1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4.2</w:t>
      </w:r>
    </w:p>
    <w:p>
      <w:r>
        <w:t>Il apparaît qu'en l'espèce, le 13 septembre 2023, E.________ avait saisi la Cour d'appel d'une nouvelle demande tendant en substance à ce qu'elle reconsidère son refus d'entrer en matière sur les appels interjetés contre le jugement de la Cour des affaires pénales du 17 juin 2022 et en particulier, dans ce contexte, son refus de reconnaître l'existence d'un pouvoir de représentation (de E.________) à l'égard des recourantes. Constatant implicitement qu'il n'y avait pas matière à reconsidération, le Juge présidant la Cour d'appel s'est référé, dans son avis du 15 septembre 2023, aux motifs qu'il avait déjà exposés dans son précédent avis du 5 septembre 2023, lequel renvoie à son tour à de précédentes décisions portant sur ces aspects procéduraux.</w:t>
      </w:r>
    </w:p>
    <w:p>
      <w:r>
        <w:rPr>
          <w:b/>
        </w:rPr>
        <w:t>E. 4.3</w:t>
      </w:r>
    </w:p>
    <w:p>
      <w:r>
        <w:t>En tant que les recourantes dirigent leurs recours exclusivement contre la "décision de non-entrée en matière" du 15 septembre 2023, elles ne prétendent pas pour autant que E.________ aurait fait valoir, dans son courrier du 13 septembre 2023, des circonstances justifiant d'adopter une autre approche que celle exposée dans l'avis du 5 septembre 2023 ainsi que, préalablement, dans la décision de la Cour d'appel du 11 mai 2023. On relèvera au demeurant que, contre cette dernière décision, les recourantes avaient déjà saisi le Tribunal fédéral de recours en matière pénale (causes 6B_777/2023, 6B_778/2023, 6B_779/2023 et 6B_680/2023), donnant lieu à l'arrêt 6B_777/2023 du 30 juin 2023, auquel elles sont renvoyées pour le surplus.</w:t>
      </w:r>
    </w:p>
    <w:p>
      <w:r>
        <w:rPr>
          <w:b/>
        </w:rPr>
        <w:t>E. 5</w:t>
      </w:r>
    </w:p>
    <w:p>
      <w:r>
        <w:t>Au vu de ce qui précède, l'irrecevabilité manifeste du recours doit être constatée dans la procédure prévue par l' art. 108 al. 1 let. b LTF .</w:t>
      </w:r>
    </w:p>
    <w:p>
      <w:r>
        <w:t>Comme les recours étaient dénués de chances de succès, les demandes d'assistance judiciaire doivent être rejetées ( art. 64 al. 1 et 3 LTF ). Les intéressées n'ayant déposé aucune pièce détaillant la structure de leur patrimoine, elles n'établissent pas, en particulier, que celui-ci serait exclusivement constitué d'actifs séquestrés, respectivement confisqués en Suisse. Il n'y a, dès lors, pas lieu de tenir compte de leur prétendue impécuniosité au stade de la fixation des frais, qu'elles supporteront solidairement et conjointement entre elles (art. 65 al. 2 et 66 al. 1 LTF). Les requêtes d'effet suspensif sont au surplus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