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7B_717/2023 vom 1. März 2024</w:t>
      </w:r>
    </w:p>
    <w:p>
      <w:r>
        <w:t>Bundesgericht, 2024-03-01, DE</w:t>
      </w:r>
    </w:p>
    <w:p>
      <w:r>
        <w:rPr>
          <w:b/>
        </w:rPr>
        <w:t xml:space="preserve">Quelle: </w:t>
      </w:r>
      <w:r>
        <w:t>https://mcp.opencaselaw.ch/entscheid/bger_7B_717_2023</w:t>
      </w:r>
    </w:p>
    <w:p>
      <w:r>
        <w:t>FR: TF 7B_717/2023 du 1 mars 2024</w:t>
      </w:r>
    </w:p>
    <w:p>
      <w:r>
        <w:t>IT: TF 7B_717/2023 del 1 marzo 2024</w:t>
      </w:r>
    </w:p>
    <w:p>
      <w:pPr>
        <w:pStyle w:val="Heading2"/>
      </w:pPr>
      <w:r>
        <w:t>Erwägungen</w:t>
      </w:r>
    </w:p>
    <w:p>
      <w:r>
        <w:rPr>
          <w:b/>
        </w:rPr>
        <w:t>E. 1.1</w:t>
      </w:r>
    </w:p>
    <w:p>
      <w:r>
        <w:t>Angefochten ist ein kantonal letztinstanzlicher Entscheid betreffend Aktenentfernungs- und Beweisanträge. Dagegen steht die Beschwerde in Strafsachen grundsätzlich offen ( Art. 78 ff. BGG ).</w:t>
      </w:r>
    </w:p>
    <w:p>
      <w:r>
        <w:rPr>
          <w:b/>
        </w:rPr>
        <w:t>E. 1.2</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137 I 296 E. 4.2; vgl. BGE 143 III 578 E. 3.2.2.2 ; 142 I 135 E. 1.3.1; je mit Hinweisen). Mit diesem Erfordernis soll sichergestellt werden, dass das Gericht konkrete und nicht bloss theoretische Fragen entscheidet ( BGE 144 IV 81 E. 2.3.1; 140 IV 74 E. 1.3.1; je mit Hinweis). Fällt das schutzwürdige Interesse im Laufe des Verfahrens dahin, wird die Sache grundsätzlich als erledigt erklärt (Urteil 7B_658/2023 vom 13. Februar 2024 E. 1.2; vgl. BGE 142 I 135 E. 1.3.1 mit Hinweisen). Das Bundesgericht berücksichtigt Tatsachen, die zur Gegenstandslosigkeit des Verfahrens führen, unabhängig vom Zeitpunkt ihres Eintretens und von Amtes wegen (Urteile 7B_317/2023 vom 21. September 2023 E. 2; 1B_619/2021 vom 2. September 2022 E. 1 mit Hinweis).</w:t>
      </w:r>
    </w:p>
    <w:p>
      <w:r>
        <w:t>Mit dem Berufungsurteil vom 27. Oktober 2023 ist der Antrag des Beschwerdeführers, die Vorinstanz sei anzuweisen, über einzelne Anträge noch vor der Berufungsverhandlung zu entscheiden, gegenstandslos geworden. Weiter hat das Obergericht mit dem Berufungsurteil auch über die Verwertbarkeit von Beweismitteln entschieden. Damit wurde der Antrag des Beschwerdeführers, Dispositiv-Ziffer 2 der angefochtenen Verfügung aufzuheben, ebenfalls gegenstandslos. Schliesslich wurden mit Präsidialverfügung vom 13. November 2023 auch die Anträge des Beschwerdeführers, soweit sie sich auf Dispositiv-Ziffern 4.2.1 und 4.3.3 des angefochtenen Entscheids beziehen, gegenstandslos. Im Übrigen ist der Beschwerdeführer grundsätzlich zur Beschwerde legitimiert.</w:t>
      </w:r>
    </w:p>
    <w:p>
      <w:r>
        <w:rPr>
          <w:b/>
        </w:rPr>
        <w:t>E. 1.3</w:t>
      </w:r>
    </w:p>
    <w:p>
      <w:r>
        <w:t>Der angefochtene Entscheid schliesst das gegen die Beschwerdeführerin laufende Strafverfahren nicht ab. Gemäss Art. 93 Abs. 1 lit. a BGG ist er nur unmittelbar mit Beschwerde an das Bundesgericht anfechtbar, wenn er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Person günstigen Endentscheid nicht oder nicht vollständig behoben werden kann ( BGE 148 IV 155 E. 1.1; 144 IV 321 E. 2.3; je mit Hinweisen). Woraus sich der nicht wieder gutzumachende Nachteil ergeben soll, ist in der Beschwerdeschrift darzulegen, sofern dies nicht offensichtlich ist ( BGE 144 III 475 E. 1.2; 142 III 798 E. 2.2; je mit Hinweisen).</w:t>
      </w:r>
    </w:p>
    <w:p>
      <w:r>
        <w:t>Der Beschwerdeführer kritisiert, dass die Vorinstanz betreffend die Geräte "Mobiltelefon Samsung", "USB-Stick Q Connect 16 GB", "Notebook MSI, inkl. Netzteil", "Mobiltelefon Sony", "Festplatte Seagate 8 TB" und "PC Sharkoon" zu Unrecht entschieden habe, diese zu seinen Effekten in der Strafanstalt Zug zu legen, anstatt sie ihm auszuhändigen. Der "faktische Entzug" seiner elektronischen Geräte stelle einen Eingriff in seine Grundrechte dar. Ihm fehle zudem die Möglichkeit, die Gegenstände zeitnah auf allfällige durch die Strafbehörden verursachte Schäden zu untersuchen. Die Vorinstanz sei "unter keinem Titel" befugt, ihm die Verwendung seiner Geräte zu untersagen. Ob er seine Geräte auch in Haft nutzen dürfe, sei nach den Anstaltsregelungen zu beurteilen.</w:t>
      </w:r>
    </w:p>
    <w:p>
      <w:r>
        <w:t>Mit diesen Ausführungen verkennt der Beschwerdeführer, dass die Vorinstanz mit Dispositiv-Ziffern 4.1.2, 4.2.3 und 4.3.2 nicht darüber entschieden hat, ob er die fraglichen Geräte während seiner Inhaftierung nutzen darf. Vielmehr hat sie im angefochtenen Entscheid mit der Auffassung des Beschwerdeführers übereinstimmend festgehalten, es obliege der Strafanstalt, seinen Zugang zu bestimmten "Waren und Gegenständen" zu regulieren. Bei dieser Sachlage ist nicht ersichtlich, inwiefern ihm durch den angefochtenen Entscheid ein nicht wieder gutzumachender Nachteil drohen soll.</w:t>
      </w:r>
    </w:p>
    <w:p>
      <w:r>
        <w:rPr>
          <w:b/>
        </w:rPr>
        <w:t>E. 2</w:t>
      </w:r>
    </w:p>
    <w:p>
      <w:r>
        <w:t>Soweit die Beschwerde nicht als gegenstandslos abzuschreiben ist, ist darauf nicht einzutreten.</w:t>
      </w:r>
    </w:p>
    <w:p>
      <w:r>
        <w:t>Es rechtfertigt sich vorliegend ausnahmsweise, auf die Erhebung von Gerichtskosten zu verzichten ( Art. 66 Abs. 1 BGG ). Das Gesuch des Beschwerdeführers um unentgeltliche Rechtspflege wird damit gegenstandslos. Eine Parteientschädigung ist nicht zuzusprechen, da die nicht anwaltlich vertretene Beschwerdegegnerin sich nicht hat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