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7B_714/2025 vom 18. Dezember 2025</w:t>
      </w:r>
    </w:p>
    <w:p>
      <w:r>
        <w:t>Bundesgericht, 2025-12-18, FR</w:t>
      </w:r>
    </w:p>
    <w:p>
      <w:r>
        <w:rPr>
          <w:b/>
        </w:rPr>
        <w:t xml:space="preserve">Quelle: </w:t>
      </w:r>
      <w:r>
        <w:t>https://mcp.opencaselaw.ch/entscheid/bger_7B_714_2025</w:t>
      </w:r>
    </w:p>
    <w:p>
      <w:r>
        <w:t>FR: TF 7B_714/2025 du 18 décembre 2025</w:t>
      </w:r>
    </w:p>
    <w:p>
      <w:r>
        <w:t>IT: TF 7B_714/2025 del 18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l'autorité précédente a constaté que la recourante n'avait pas versé l'avance de frais dans le délai imparti à cet effet, ni sollicité la prolongation de ce délai, ni demandé à être mise au bénéfice de l'assistance judiciaire, ce qui justifiait de ne pas entrer en matière sur son recours ( art. 383 al. 2 CPP ).</w:t>
      </w:r>
    </w:p>
    <w:p>
      <w:r>
        <w:rPr>
          <w:b/>
        </w:rPr>
        <w:t>E. 1.3</w:t>
      </w:r>
    </w:p>
    <w:p>
      <w:r>
        <w:t>Face à cette motivation, la recourante se borne à invoquer des arguments de fond; elle ne conteste pas n'avoir pas fourni l'avance de frais, ni n'articule de motivation, conforme aux exigences en la matière, susceptible de démontrer que l'autorité précédente aurait violé le droit fédéral (soit en particulier l' art. 383 al. 2 CPP ) en n'entrant pas en matière sur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