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6/2025 vom 5. März 2025</w:t>
      </w:r>
    </w:p>
    <w:p>
      <w:r>
        <w:t>Bundesgericht, 2025-03-05, FR</w:t>
      </w:r>
    </w:p>
    <w:p>
      <w:r>
        <w:rPr>
          <w:b/>
        </w:rPr>
        <w:t xml:space="preserve">Quelle: </w:t>
      </w:r>
      <w:r>
        <w:t>https://mcp.opencaselaw.ch/entscheid/bger_7B_6_2025</w:t>
      </w:r>
    </w:p>
    <w:p>
      <w:r>
        <w:t>FR: TF 7B 6/2025 du 5 mars 2025</w:t>
      </w:r>
    </w:p>
    <w:p>
      <w:r>
        <w:t>IT: TF 7B 6/2025 del 5 marzo 2025</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1.1</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Si la partie plaignante invoque des infractions distinctes, elle doit mentionner par rapport à chacune d'elles en quoi consiste son dommage (arrêts 7B_222/2024 du 28 février 2024 consid. 1.1; 7B_79/2022 du 10 janvier 2024 consid. 1.1; 6B_801/2023 du 26 juin 2023 consid. 2.1).</w:t>
      </w:r>
    </w:p>
    <w:p>
      <w:r>
        <w:rPr>
          <w:b/>
        </w:rPr>
        <w:t>E. 1.2</w:t>
      </w:r>
    </w:p>
    <w:p>
      <w:r>
        <w:t>En l'espèce, A.A.________ a déposé plainte contre C.________, compagne de son frère décédé B.A.________, pour appropriation illégitime ( art. 137 CP ), abus de confiance ( art. 138 CP ), vol ( art. 139 CP ), soustraction d'une chose mobilière ( art 141 CP ) et violation de secrets privés ( art. 179 CP ). A.A.________ reprochait en substance à celle-ci de ne pas avoir restitué à l'hoirie le téléphone mobile, les documents d'identité ainsi que les biens et affaires personnelles de feu son frère.</w:t>
      </w:r>
    </w:p>
    <w:p>
      <w:r>
        <w:rPr>
          <w:b/>
        </w:rPr>
        <w:t>E. 1.2.1</w:t>
      </w:r>
    </w:p>
    <w:p>
      <w:r>
        <w:t>Pour fonder sa qualité pour recourir, A.A.________ fait valoir un préjudice financier d'environ 14'000 fr., soit 1'827 fr. 70 pour des montres, 2'500 fr. pour des médias (cd's, vinyles, livres), 2'500 fr. pour des guitares et le reste en "frais administratifs". Ce faisant, alors qu'il se plaint de diverses infractions, il n'indique toutefois pas, conformément aux exigences en la matière, quel montant se rapporte à quelle infraction, ni de quels actes précisément découleraient les différents dommages dénoncés.</w:t>
      </w:r>
    </w:p>
    <w:p>
      <w:r>
        <w:rPr>
          <w:b/>
        </w:rPr>
        <w:t>E. 1.2.2</w:t>
      </w:r>
    </w:p>
    <w:p>
      <w:r>
        <w:t>Par ailleurs, selon les faits constatés par l'autorité précédente - qui lient le Tribunal fédéral ( art. 105 al. 1 LTF ) - feu B.A.________ a laissé pour héritiers ab intestat le recourant ainsi que sa mère, laquelle n'a pas déposé plainte pénale contre C.________. On rappellera à cet égard qu'en cas d'infractions commises au préjudice d'une communauté héréditaire, les héritiers - qui sont seuls titulaires des biens de la succession ( ATF 142 IV 82 consid. 3.3.1; 141 IV 380 consid. 2.3.2 et les références citées) - forment, pour l'action civile adhésive comme pour toute action qui touche les droits de la communauté héréditaire, une consorité nécessaire et doivent agir conjointement ( ATF 148 IV 256 consid. 3.6; 142 IV 82 consid. 3.3.2). Or le recourant n'explique pas que, sans procéder avec sa mère, il pourrait valablement introduire une action civile par adhésion au procès pénal afin de faire valoir des prétentions civiles qui appartiendraient à l'hoirie de feu B.A.________ et pour lesquelles tous les héritiers doivent agir conjointement.</w:t>
      </w:r>
    </w:p>
    <w:p>
      <w:r>
        <w:rPr>
          <w:b/>
        </w:rPr>
        <w:t>E. 1.2.3</w:t>
      </w:r>
    </w:p>
    <w:p>
      <w:r>
        <w:t>En définitive, la motivation du recourant quant aux prétentions civiles est manifestement insuffisante et exclut dès lors sa qualité pour recourir sur le fond de la cause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