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7B_69/2023 vom 28. August 2023</w:t>
      </w:r>
    </w:p>
    <w:p>
      <w:r>
        <w:t>Bundesgericht, 2023-08-28, FR</w:t>
      </w:r>
    </w:p>
    <w:p>
      <w:r>
        <w:rPr>
          <w:b/>
        </w:rPr>
        <w:t xml:space="preserve">Quelle: </w:t>
      </w:r>
      <w:r>
        <w:t>https://mcp.opencaselaw.ch/entscheid/bger_7B_69_2023</w:t>
      </w:r>
    </w:p>
    <w:p>
      <w:r>
        <w:t>FR: TF 7B_69/2023 du 28 août 2023</w:t>
      </w:r>
    </w:p>
    <w:p>
      <w:r>
        <w:t>IT: TF 7B_69/2023 del 28 agosto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le prévenu.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arrêt 6B_870/2023 du 28 juin 2023 consid. 5).</w:t>
      </w:r>
    </w:p>
    <w:p>
      <w:r>
        <w:t>La partie plaignante peut réclamer la réparation de son dommage (art. 41 à 46 CO) et l'indemnisation de son tort moral ( art. 47 et 49 CO ), dans la mesure où ceux-ci découlent directement de la commission de l'infraction reprochée au prévenu ( ATF 148 IV 432 consid. 3.1.2; 143 IV 495 consid. 2.2.4; arrêt 6B_421/2022 du 13 février 2023 consid. 6.1). En matière d'infraction économique, il ne suffit pas pour la partie plaignante de se prévaloir d'avoir été touchée par l'infraction invoquée; elle doit fournir des explications précises sur le dommage éprouvé, sinon le recours est irrecevable (CHRISTIAN DENYS, in Commentaire de la LTF, 3e éd. 2022, n. 57</w:t>
      </w:r>
    </w:p>
    <w:p>
      <w:r>
        <w:t>in fine ad art. 81 LTF ).</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(arrêts 6B_1244/2021 du 12 avril 2022 consid. 1.3.3; 6B_266/2021 du 21 octobre 2021 consid. 2.1). La partie plaignante n'est pas habilitée à recourir en matière pénale lorsque les prétentions civiles sont traitées dans une procédure civile parallèle (arrêts 6B_739/2022 du 22 mars 2023 consid. 1.3; 6B_831/2021 du 26 janvier 2023 consid. 1.1; 6B_738/2022 du 6 décembre 2022 consid. 2.1).</w:t>
      </w:r>
    </w:p>
    <w:p>
      <w:r>
        <w:rPr>
          <w:b/>
        </w:rPr>
        <w:t>E. 1.1.2</w:t>
      </w:r>
    </w:p>
    <w:p>
      <w:r>
        <w:t>La recourante indique que les attestations datées du 18 novembre 2013, qui constitueraient en particulier l'infraction de faux dans les titres, lui auraient causé un préjudice substantiel, puisqu'elles l'auraient empêchée de rechercher l'identité des bénéficiaires des retraits prétendument occultés et, par conséquent, privée de la possibilité de faire valoir ses droits - notamment successoraux - sur les avoirs qui auraient disparu des comptes de son père. De plus, elle relève qu'un transfert de EUR 686'000.- lui aurait été dissimulé et que des avoirs en compte devant représenter plus de EUR 1'000'000.- auraient été soustraits à la succession. Elle expose encore que le préjudice correspondrait "aux sommes retirées des comptes de manière dissimulée".</w:t>
      </w:r>
    </w:p>
    <w:p>
      <w:r>
        <w:t>On comprend des explications de la recourante qu'un dommage lui aurait été causé, dès lors qu'en raison des attestations qui lui ont été délivrées par les prévenus et des fausses informations contenues dans celles-ci, elle n'aurait pas pu - ou ne pourrait pas - obtenir la totalité de sa part successorale provenant de la fortune de son père.</w:t>
      </w:r>
    </w:p>
    <w:p>
      <w:r>
        <w:t>Cela étant, dans ses écritures (recours, p. 3; plainte, pp. 1, 5 et 11), la recourante indique que les montants concernés auraient en substance été soustraits par sa soeur, dès lors qu'une partie des montants qui figuraient sur les comptes de son père auraient été transférés sur un compte de celle-ci. Elle ajoute, comme on l'a vu, qu'une partie des avoirs de la succession aurait également été transférée sur un compte de la banque F.________. Toutefois, dans son recours, la recourante ne dit rien au sujet de l'état actuel de la succession. Elle ne fournit en effet aucun élément permettant de déterminer, à tout le moins à un moment donné, l'état de la fortune de son père, ni l'avancée de la succession. En outre, il ressort de l'arrêt attaqué et du dossier que, par lettre du 4 octobre 2022 adressée à l'autorité précédente, la recourante a indiqué qu'une "procédure de succession" l'opposant à sa soeur était instruite en Belgique (cf. p. 7 § D.a.b de l'arrêt attaqué; pièce V du dossier de deuxième instance; art. 105 al. 1 LTF ). On s'étonne ainsi que la recourante, qui a d'ailleurs expressément mentionné qu'elle n'était pas habilitée à recourir en matière pénale lorsque les prétentions civiles étaient traitées dans une procédure civile parallèle (cf. recours, p. 5), n'ait pas fait mention de cette procédure ni formulé d'explications à cet égard dans le cadre de son recours au Tribunal fédéral. Or, l'existence de la procédure en Belgique en lien avec la succession du père de la recourante et les prétentions civiles invoquées par celle-ci dans la procédure pénale suisse liées</w:t>
      </w:r>
    </w:p>
    <w:p>
      <w:r>
        <w:t>a priori uniquement à ses éventuelles expectatives successorales ne permettent pas, sans autre explication, de retenir que les conclusions civiles qui pourraient être formulées contre les deux prévenus en Suisse seraient fondamentalement différentes de celles éventuellement prises en Belgique, respectivement que des questions similaires ne seraient pas l'objet du litige porté devant les autorités belges. On ne saurait donc exclure que les prétentions civiles de la recourante soient déjà traitées dans une procédure parallèle.</w:t>
      </w:r>
    </w:p>
    <w:p>
      <w:r>
        <w:t>Ainsi, faute de toute motivation sur cette problématique (cf. art. 42 al. 1 LTF ), la recourante ne démontre pas sa qualité pour recourir au sens de l'art. 81 al. 1 let. a et b ch. 5 LTF.</w:t>
      </w:r>
    </w:p>
    <w:p>
      <w:r>
        <w:rPr>
          <w:b/>
        </w:rPr>
        <w:t>E. 1.2</w:t>
      </w:r>
    </w:p>
    <w:p>
      <w:r>
        <w:t>L'hypothèse visée à l'art. 81 al. 1 let. b ch. 6 LTF n'entre en outre pas en considération, dès lors que la recourante ne soulève aucun grief concernant son droit de porter plainte.</w:t>
      </w:r>
    </w:p>
    <w:p>
      <w:r>
        <w:rPr>
          <w:b/>
        </w:rPr>
        <w:t>E. 1.3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cependant pas le cas en l'espèce.</w:t>
      </w:r>
    </w:p>
    <w:p>
      <w:r>
        <w:rPr>
          <w:b/>
        </w:rPr>
        <w:t>E. 2</w:t>
      </w:r>
    </w:p>
    <w:p>
      <w:r>
        <w:t>En définitive, le recours doit être déclaré irrecevable.</w:t>
      </w:r>
    </w:p>
    <w:p>
      <w:r>
        <w:t>La recourante,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