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7B_699/2024 vom 27. August 2024</w:t>
      </w:r>
    </w:p>
    <w:p>
      <w:r>
        <w:t>Bundesgericht, 2024-08-27, DE</w:t>
      </w:r>
    </w:p>
    <w:p>
      <w:r>
        <w:rPr>
          <w:b/>
        </w:rPr>
        <w:t xml:space="preserve">Quelle: </w:t>
      </w:r>
      <w:r>
        <w:t>https://mcp.opencaselaw.ch/entscheid/bger_7B_699_2024</w:t>
      </w:r>
    </w:p>
    <w:p>
      <w:r>
        <w:t>FR: TF 7B_699/2024 du 27 août 2024</w:t>
      </w:r>
    </w:p>
    <w:p>
      <w:r>
        <w:t>IT: TF 7B_699/2024 del 27 agosto 2024</w:t>
      </w:r>
    </w:p>
    <w:p>
      <w:pPr>
        <w:pStyle w:val="Heading2"/>
      </w:pPr>
      <w:r>
        <w:t>Erwägungen</w:t>
      </w:r>
    </w:p>
    <w:p>
      <w:r>
        <w:rPr>
          <w:b/>
        </w:rPr>
        <w:t>E. 1</w:t>
      </w:r>
    </w:p>
    <w:p>
      <w:r>
        <w:t>Mit Eingabe vom 3. April 2023 erstattete A.________ (nachfolgend: Beschwerdeführer) bei der Staatsanwaltschaft Limmattal/Albis Strafanzeige gegen unbekannte Täterschaft wegen Nötigung, Drohung und Amtsmissbrauchs. Die Strafanzeige bezieht sich auf einen Vorfall vom 1. Juli 2022, anlässlich welchem der Beschwerdeführer von zwei Polizisten der Stadtpolizei Zürich genötigt worden sei, den Albisriederplatz in Zürich zu verlassen. Weiter sei gegen ihn eine 24-stündige Wegweisungsverfügung erlassen worden, wobei ihm für den Fall der Zuwiderhandlung mit Haft gedroht worden sei. Sodann sei er im Rahmen einer angeblichen Polizeikontrolle aufgefordert worden, seine kompletten Fahrradtaschen auszuräumen, wobei die Polizisten keine Wegweisung verfügt hätten. Mit Verfügung vom 18. April 2024 nahm die zuständige Staatsanwaltschaft Zürich-Sihl eine Strafuntersuchung gegen die namentlich nicht bekannten Mitarbeiter der Stadtpolizei Zürich nicht an die Hand. Hiergegen erhob der Beschwerdeführer Beschwerde, welche am 29. Mai 2024 vom Obergericht des Kantons Zürich abgewiesen wurde.</w:t>
      </w:r>
    </w:p>
    <w:p>
      <w:r>
        <w:rPr>
          <w:b/>
        </w:rPr>
        <w:t>E. 2</w:t>
      </w:r>
    </w:p>
    <w:p>
      <w:r>
        <w:t>Der Beschwerdeführer gelangt ans Bundesgericht und beantragt, seine "Beschwerde gegen die Nichtanhandnahmeverfügung" sei gutzuheissen.</w:t>
      </w:r>
    </w:p>
    <w:p>
      <w:r>
        <w:rPr>
          <w:b/>
        </w:rPr>
        <w:t>E. 3.1</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3.2</w:t>
      </w:r>
    </w:p>
    <w:p>
      <w:r>
        <w:t>Der Beschwerdeführer äussert sich nicht zu seiner Legitimation als Privatkläger im Sinne von Art. 81 Abs. 1 lit. b Ziff. 5 BGG und zur Frage der Zivilforderung. Wie er selber erwähnt, richtete sich seine (kantonale) Beschwerde "gegen Beamte". Wollte der Beschwerdeführer allfällige Schadenersatz- oder Genugtuungsansprüche aus dem behaupteten Fehlverhalten der unbekannten Mitarbeiter der Stadtpolizei geltend machen, beurteilten sie sich ohnehin mit grösster Wahrscheinlichkeit nach öffentlichem Recht. Inwiefern sich die Nichtanhandnahme auf die Beurteilung von Zivilansprüchen im Sinne von Art. 81 Abs. 1 lit. b Ziff. 5 BGG auswirken könnte, ist nicht ersichtlich. Der Beschwerdeführer ist in der Sache nicht beschwerdelegitimiert.</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nicht.</w:t>
      </w:r>
    </w:p>
    <w:p>
      <w:r>
        <w:rPr>
          <w:b/>
        </w:rPr>
        <w:t>E. 4</w:t>
      </w:r>
    </w:p>
    <w:p>
      <w:r>
        <w:t>Im Ergebnis ist auf die Beschwerde im Verfahren nach Art. 108 BGG nicht einzutreten. Die Gerichtskosten sind ausgangsgemäss dem Beschwerdeführer aufzuerlegen ( Art. 66 Abs. 1 BGG ). Sein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