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7B_688/2024 vom 16. August 2024</w:t>
      </w:r>
    </w:p>
    <w:p>
      <w:r>
        <w:t>Bundesgericht, 2024-08-16, FR</w:t>
      </w:r>
    </w:p>
    <w:p>
      <w:r>
        <w:rPr>
          <w:b/>
        </w:rPr>
        <w:t xml:space="preserve">Quelle: </w:t>
      </w:r>
      <w:r>
        <w:t>https://mcp.opencaselaw.ch/entscheid/bger_7B_688_2024</w:t>
      </w:r>
    </w:p>
    <w:p>
      <w:r>
        <w:t>FR: TF 7B_688/2024 du 16 août 2024</w:t>
      </w:r>
    </w:p>
    <w:p>
      <w:r>
        <w:t>IT: TF 7B_688/2024 del 16 agosto 2024</w:t>
      </w:r>
    </w:p>
    <w:p>
      <w:pPr>
        <w:pStyle w:val="Heading2"/>
      </w:pPr>
      <w:r>
        <w:t>Erwägungen</w:t>
      </w:r>
    </w:p>
    <w:p>
      <w:r>
        <w:rPr>
          <w:b/>
        </w:rPr>
        <w:t>E. 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7B_786/2024 du 26 juillet 2024 consid. 1.1).</w:t>
      </w:r>
    </w:p>
    <w:p>
      <w:r>
        <w:t>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2</w:t>
      </w:r>
    </w:p>
    <w:p>
      <w:r>
        <w:t>En l'espèce, l'autorité précédente a considéré qu'une partie du recours déposé devant elle devait être déclarée irrecevable, faute de respecter les exigences de motivation déduites de l' art. 385 CPP ; il devait également être déclaré irrecevable en tant qu'il portait sur l'ordonnance de non-entrée en matière concernant l'infraction à la LCR, dès lors que le recourant ne pouvait pas se prévaloir de la qualité de lésé et qu'il n'avait, dans cette mesure, pas d'intérêt juridiquement protégé à l'annulation ou à la modification de cette ordonnance (cf. art. 382 CPP ). Face à cette motivation cantonale, le recourant se limite pour l'essentiel à alléguer des faits et des arguments se rapportant au système judiciaire vaudois qu'il estime n'être plus "qu'une hérésie institutionnelle"; il se limite par ailleurs à formuler des critiques générales contre différents magistrats, contre lesquels il aurait déposé des plaintes pénales, sans pour autant soutenir que les dispositions en matière de récusation n'auraient pas été observées, et avance des griefs ou autres accusations qui ne se rapportent pas à l'objet de l'arrêt attaqué.</w:t>
      </w:r>
    </w:p>
    <w:p>
      <w:r>
        <w:t>Le recourant n'articule ainsi aucune motivation topique, conforme aux exigences en la matière, propre à démontrer en quoi l'autorité précédente aurait violé le droit fédéral (en particulier les art. 382 et 385 CPP ), voire tout droit fondamental, en déclarant partiellement irrecevable le recours porté devant elle. Il présente de plus sa propre version des faits dans de longs développements, sans toutefois démontrer en quoi l'appréciation faite par la cour cantonale serait arbitraire (cf. art. 97 al. 1 LTF ) ou violerait d'une autre manière le droit. Il ne formule à cet égard aucun grief recevable.</w:t>
      </w:r>
    </w:p>
    <w:p>
      <w:r>
        <w:rPr>
          <w:b/>
        </w:rPr>
        <w:t>E. 3.1</w:t>
      </w:r>
    </w:p>
    <w:p>
      <w:r>
        <w:t>Cela étant, la qualité pour recourir doit être examinée s'agissant de la partie du recours qui n'a pas été déclarée irrecevable par la cour cantonale.</w:t>
      </w:r>
    </w:p>
    <w:p>
      <w:r>
        <w:rPr>
          <w:b/>
        </w:rPr>
        <w:t>E. 3.2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7B_506/2024 du 8 juillet 2024 consid. 1.1; 7B_566/2023 du 14 mai 2024 consid. 1.2.1).</w:t>
      </w:r>
    </w:p>
    <w:p>
      <w:r>
        <w:rPr>
          <w:b/>
        </w:rPr>
        <w:t>E. 3.3</w:t>
      </w:r>
    </w:p>
    <w:p>
      <w:r>
        <w:t>En l'espèce, le recourant ne dit pas un mot, dans son écriture, au sujet d'éventuelles prétentions civiles envers B.________, contre lequel il a déposé une plainte pénale pour mise en danger de la vie d'autrui. Il ne s'exprime ni sur le principe ni sur la quotité d'un éventuel dommage dont il pourrait demander la réparation en raison des actes dénoncés. De telles prétentions ne peuvent en outre pas être déduites directement et sans ambiguïté de l'infraction en cause ni de la motivation du recours. L'absence d'explications sur la question des prétentions civiles exclut sa qualité pour recourir sur le fond de la cause en application de l'art. 81 al. 1 let. a et b ch. 5 LTF.</w:t>
      </w:r>
    </w:p>
    <w:p>
      <w:r>
        <w:rPr>
          <w:b/>
        </w:rPr>
        <w:t>E. 3.4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le recourant ne présentant pas, du moins pas de manière compréhensible, respectivement conforme aux exigences de motivation posées aux art. 42 al. 2 LTF (cf. ATF 148 IV 205 consid. 2.6) et 106 al. 2 LTF (cf. ATF 146 I 62 consid. 3), de grief susceptible d'être examiné à ce titre.</w:t>
      </w:r>
    </w:p>
    <w:p>
      <w:r>
        <w:rPr>
          <w:b/>
        </w:rPr>
        <w:t>E. 4</w:t>
      </w:r>
    </w:p>
    <w:p>
      <w:r>
        <w:t>Pour le reste, le recourant ne formule aucun grief distinct et recevable sous l'angle des art. 5, 7, 9, 16, 29, 30 et 35 Cst. ainsi que des art. 6 et 17 CEDH qu'il invoque.</w:t>
      </w:r>
    </w:p>
    <w:p>
      <w:r>
        <w:rPr>
          <w:b/>
        </w:rPr>
        <w:t>E. 5</w:t>
      </w:r>
    </w:p>
    <w:p>
      <w:r>
        <w:t>L'irrecevabilité manifeste du recours doit dès lors être constatée dans la procédure simplifiée prévue par l' art. 108 al. 1 let. a 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