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7B_680/2025 vom 13. August 2025</w:t>
      </w:r>
    </w:p>
    <w:p>
      <w:r>
        <w:t>Bundesgericht, 2025-08-13, DE</w:t>
      </w:r>
    </w:p>
    <w:p>
      <w:r>
        <w:rPr>
          <w:b/>
        </w:rPr>
        <w:t xml:space="preserve">Quelle: </w:t>
      </w:r>
      <w:r>
        <w:t>https://mcp.opencaselaw.ch/entscheid/bger_7B_680_2025</w:t>
      </w:r>
    </w:p>
    <w:p>
      <w:r>
        <w:t>FR: TF 7B_680/2025 du 13 août 2025</w:t>
      </w:r>
    </w:p>
    <w:p>
      <w:r>
        <w:t>IT: TF 7B_680/2025 del 13 agosto 2025</w:t>
      </w:r>
    </w:p>
    <w:p>
      <w:pPr>
        <w:pStyle w:val="Heading2"/>
      </w:pPr>
      <w:r>
        <w:t>Erwägungen</w:t>
      </w:r>
    </w:p>
    <w:p>
      <w:r>
        <w:rPr>
          <w:b/>
        </w:rPr>
        <w:t>E. 1</w:t>
      </w:r>
    </w:p>
    <w:p>
      <w:r>
        <w:t>Die Staatsanwaltschaft des Kantons Zürich führte eine Strafuntersuchung gegen A.________ wegen versuchter vorsätzlicher Tötung und weiterer Delikte. Mit Urteil des Bezirksgerichts Zürich vom 10. April 2025 wurde festgestellt, dass A.________ neben der versuchten vorsätzlichen Tötung weitere Tatbestände im Zustand der nicht selbstverschuldeten Schuldunfähigkeit erfüllt hat, weshalb von einer Strafe abgesehen und eine stationäre Behandlung angeordnet wurde. Gleichentags verlängerte das Bezirksgericht die Sicherheitshaft bis zum 10. Juli 2025, längstens bis zum Antritt des Massnahmenvollzugs. Mit Eingabe vom 25. Mai 2025 ersuchte A.________ um Haftentlassung, die das Bezirksgericht mit Beschluss vom 2. Juni 2025 ablehnte. Eine dagegen an das Obergericht des Kantons Zürich erhobene Beschwerde, wies dieses am 3. Juli 2025 ab. Mit Eingabe vom 16. Juli 2025 führt A.________ Beschwerde in Strafsachen gegen den Beschluss des Obergerichts betreffend Haftentlassung aus der Sicherheitshaft.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seine Eingaben in französischer Sprache eingereicht hat.</w:t>
      </w:r>
    </w:p>
    <w:p>
      <w:r>
        <w:rPr>
          <w:b/>
        </w:rPr>
        <w:t>E. 3</w:t>
      </w:r>
    </w:p>
    <w:p>
      <w:r>
        <w:t>Der Beschwerdeführer setzt sich nicht ansatzweise mit den Erwägungen der Vorinstanz auseinander. Er bringt einzig vor, es handle sich um eine "décision injuste" und er sei nicht verantwortlich für die Taten, die er begangen habe. Sodann behauptet er, die Sicherheitshaft sei nicht mehr notwendig und ihm seien elektronische Fussfesseln zu gestatten, ohne aber aufzuzeigen, inwiefern die vorinstanzlichen Erwägungen zur Verhältnismässigkeit rechtswidrig sein sollen. Derart appellatorische Kritik genügt den gesetzlichen Begründungsanforderungen an eine Beschwerde an das Bundesgericht offensichtlich nicht (vgl. Art. 42 Abs. 2 und Art. 106 Abs. 2 BGG ; BGE 148 IV 356 E. 2.1, 39 E. 2.3.5; je mit Hinweisen).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