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7B_67/2025 vom 18. März 2025</w:t>
      </w:r>
    </w:p>
    <w:p>
      <w:r>
        <w:t>Bundesgericht, 2025-03-18, DE</w:t>
      </w:r>
    </w:p>
    <w:p>
      <w:r>
        <w:rPr>
          <w:b/>
        </w:rPr>
        <w:t xml:space="preserve">Quelle: </w:t>
      </w:r>
      <w:r>
        <w:t>https://mcp.opencaselaw.ch/entscheid/bger_7B_67_2025</w:t>
      </w:r>
    </w:p>
    <w:p>
      <w:r>
        <w:t>FR: TF 7B_67/2025 du 18 mars 2025</w:t>
      </w:r>
    </w:p>
    <w:p>
      <w:r>
        <w:t>IT: TF 7B_67/2025 del 18 marzo 2025</w:t>
      </w:r>
    </w:p>
    <w:p>
      <w:pPr>
        <w:pStyle w:val="Heading2"/>
      </w:pPr>
      <w:r>
        <w:t>Erwägungen</w:t>
      </w:r>
    </w:p>
    <w:p>
      <w:r>
        <w:rPr>
          <w:b/>
        </w:rPr>
        <w:t>E. 1</w:t>
      </w:r>
    </w:p>
    <w:p>
      <w:r>
        <w:t>Am 4. März 2024 nahm die Regionale Staatsanwaltschaft Bern-Mittelland (nachfolgend: Staatsanwaltschaft) ein Strafverfahren gegen die B.________ AG sowie unbekannte Täterschaft wegen übler Nachrede, Verleumdung und unlauteren Wettbewerbs zum Nachteil der Beschwerdeführerin nicht an Hand. Hintergrund war, dass die B.________ AG einen Zahlungsauftrag an die Beschwerdeführerin über Fr. 50'000.-- gestoppt und der zum damaligen Zeitpunkt 72-jährigen Auftraggeberin von der Sicherheitsabteilung der B.________ AG dringend von der Überweisung abgeraten wurde, da das Investment "mit hoher Wahrscheinlichkeit betrügerisch" sei, woraufhin diese von dem der Überweisung zugrundeliegenden Anlagevertrag zurückgetreten sei. Eine von der Beschwerdeführerin gegen die Nichtanhandnahmeverfügung erhobene Beschwerde wies das Obergericht des Kantons Bern (nachfolgend: Obergericht) mit Beschluss vom 5. Dezember 2024 ab. Die Beschwerdeführerin beantragt dem Bundesgericht mit Beschwerde vom 27. Januar 2025 im Wesentlichen, es sei der Beschluss des Obergerichts vom 5. Dezember 2024 vollumfänglich aufzuheben und es sei die Staatsanwaltschaft anzuweisen, das Strafverfahren wegen Verleumdung, übler Nachrede und unlauterem Wettbewerb an Hand zu nehmen.</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 Die Begründung muss in der Beschwerde selbst enthalten sein; der blosse Verweis auf Ausführungen in anderen Rechtsschriften oder auf die Akten reicht nicht aus ( BGE 144 V 173 E. 3.2.2; 143 IV 122 E. 3.3; 140 III 115 E. 2; je mit Hinweisen).</w:t>
      </w:r>
    </w:p>
    <w:p>
      <w:r>
        <w:rPr>
          <w:b/>
        </w:rPr>
        <w:t>E. 3</w:t>
      </w:r>
    </w:p>
    <w:p>
      <w:r>
        <w:t>Die Beschwerdeführerin geht mit keinem Wort auf ihre Sachlegitimation ein. Dass und inwiefern ihr ein Zivilanspruch im Sinne von Art. 81 Abs. 1 lit. b Ziff. 5 BGG zustehen soll, wird nicht hinreichend dargelegt. Im Verfahren vor Bundesgericht ist nach ständiger Rechtsprechung detailliert - namentlich unter Darlegung der einzelnen Anspruchsvoraussetzungen (siehe die Nachweise in Erwägung 2 hiervor) - aufzuzeigen, aus welchen Gründen und inwiefern sich der angefochtene Beschluss auf welchen konkreten Zivilanspruch auswirken kann. Dies unterbleibt in der Beschwerde vollständig. Im Sinne der von der Rechtsprechung entwickelten Ausnahmebestimmung von den Begründungsanforderungen abzusehen, ist ferner vorliegend nicht angezeigt, da nicht erkennbar ist - und im Übrigen von der Beschwerdeführerin an keiner Stelle ihrer Beschwerdeschrift nur schon behauptet wird -, dass die zur Anzeige gebrachten Delikte (üble Nachrede, Verleumdung und unlauterer Wettbewerb) unmittelbar zu einer Beeinträchtigung der körperlichen, psychischen oder sexuellen Integrität der Beschwerdeführerin bzw. eines ihrer Organe geführt hätten. Zusammenfassend kommt die Beschwerdeführerin den Begründungsanforderungen hinsichtlich der Beschwerdelegitimation offensichtlich nicht hinreichend nach.</w:t>
      </w:r>
    </w:p>
    <w:p>
      <w:r>
        <w:rPr>
          <w:b/>
        </w:rPr>
        <w:t>E. 4</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Eine in der Sache nicht legitimierte Beschwerdeführerin kann deshalb insbesondere nicht geltend machen, die Begründung sei materiell unzutreffend (vgl. Urteile 7B_751/2024 vom 27. November 2024 E. 3.1; 7B_219/2023 vom 20. Juni 2024 E. 1.2; vgl. auch BGE 136 IV 41 E. 1.4; je mit Hinweisen). Die Beschwerdeführerin äussert keine solchen formellen Einwendungen, die nicht auf eine Überprüfung in der Sache abzielen, weshalb auch unter diesem Titel nicht auf die Beschwerde eingetreten werden kann.</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