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7B_674/2023 vom 15. Dezember 2023</w:t>
      </w:r>
    </w:p>
    <w:p>
      <w:r>
        <w:t>Bundesgericht, 2023-12-15, FR</w:t>
      </w:r>
    </w:p>
    <w:p>
      <w:r>
        <w:rPr>
          <w:b/>
        </w:rPr>
        <w:t xml:space="preserve">Quelle: </w:t>
      </w:r>
      <w:r>
        <w:t>https://mcp.opencaselaw.ch/entscheid/bger_7B_674_2023</w:t>
      </w:r>
    </w:p>
    <w:p>
      <w:r>
        <w:t>FR: TF 7B_674/2023 du 15 décembre 2023</w:t>
      </w:r>
    </w:p>
    <w:p>
      <w:r>
        <w:t>IT: TF 7B_674/2023 del 15 dicembre 2023</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Lorsque la partie plaignante se plaint d'infractions distinctes, elle doit mentionner, par rapport à chacune d'elles, en quoi consiste son dommage (arrêt 6B_1148/2021 du 23 juin 2023 consid. 1.7 et les arrêts cités).</w:t>
      </w:r>
    </w:p>
    <w:p>
      <w:r>
        <w:rPr>
          <w:b/>
        </w:rPr>
        <w:t>E. 1.2</w:t>
      </w:r>
    </w:p>
    <w:p>
      <w:r>
        <w:t>En l'espèce, les recourants ne disent mot, dans leur recours, au sujet d'éventuelles prétentions civiles envers la personne contre laquelle ils ont déposé plainte pénale. Ils ne livrent par ailleurs aucune explication sur les raisons qui les empêcheraient, plus d'une année et demie après les faits dénoncés, de motiver plus avant leurs éventuelles prétentions civiles, respectivement de les chiffrer. Le défaut de motivation sur la question des prétentions civiles exclut dès lors leur qualité pour recourir sur le fond de la cause.</w:t>
      </w:r>
    </w:p>
    <w:p>
      <w:r>
        <w:rPr>
          <w:b/>
        </w:rPr>
        <w:t>E. 1.3</w:t>
      </w:r>
    </w:p>
    <w:p>
      <w:r>
        <w:t>L'hypothèse visée à l'art. 81 al. 1 let. b ch. 6 LTF n'entre pas en considération, étant donné que les recourants ne soulèvent aucun grief quant à leur droit de porter plainte.</w:t>
      </w:r>
    </w:p>
    <w:p>
      <w:r>
        <w:rPr>
          <w:b/>
        </w:rPr>
        <w:t>E. 1.4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w:t>
      </w:r>
    </w:p>
    <w:p>
      <w:r>
        <w:t>En tant que les recourants se plaignent d'une violation de leur droit d'être entendus en lien avec un défaut de motivation, il ne démontrent pas, et on ne voit pas, en quoi les carences invoquées seraient propres à constituer un déni de justice formel. Le moyen n'est ainsi pas séparé du fond.</w:t>
      </w:r>
    </w:p>
    <w:p>
      <w:r>
        <w:rPr>
          <w:b/>
        </w:rPr>
        <w:t>E. 1.5</w:t>
      </w:r>
    </w:p>
    <w:p>
      <w:r>
        <w:t>Pour le reste, les critiques que soulèvent les recourants en invoquant les art. 173 ss et 180 CP ainsi que le principe</w:t>
      </w:r>
    </w:p>
    <w:p>
      <w:r>
        <w:t>in dubio pro duriore ont trait au fond de la cause, qu'ils n'ont pas qualité pour discuter (cf. consid. 1.2</w:t>
      </w:r>
    </w:p>
    <w:p>
      <w:r>
        <w:t>supra ). Elles sont par conséquent irrecevables.</w:t>
      </w:r>
    </w:p>
    <w:p>
      <w:r>
        <w:rPr>
          <w:b/>
        </w:rPr>
        <w:t>E. 2</w:t>
      </w:r>
    </w:p>
    <w:p>
      <w:r>
        <w:t>L'irrecevabilité manifeste du recours doit dès lors être constatée dans la procédure prévue par l' art. 108 al. 1 let. a LTF . Les recourants, qui succombent, supporteront les frais judiciaires, solidairement entre eux (66 al. 1 et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