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7B_671/2025 vom 25. August 2025</w:t>
      </w:r>
    </w:p>
    <w:p>
      <w:r>
        <w:t>Bundesgericht, 2025-08-25, FR</w:t>
      </w:r>
    </w:p>
    <w:p>
      <w:r>
        <w:rPr>
          <w:b/>
        </w:rPr>
        <w:t xml:space="preserve">Quelle: </w:t>
      </w:r>
      <w:r>
        <w:t>https://mcp.opencaselaw.ch/entscheid/bger_7B_671_2025</w:t>
      </w:r>
    </w:p>
    <w:p>
      <w:r>
        <w:t>FR: TF 7B_671/2025 du 25 août 2025</w:t>
      </w:r>
    </w:p>
    <w:p>
      <w:r>
        <w:t>IT: TF 7B_671/2025 del 25 agosto 2025</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Le Tribunal fédéral n'entre en matière sur de tels moyens que s'ils ont été invoqués et motivés de manière précise ( art. 106 al. 2 LTF ). Les critiques de nature appellatoire sont irrecevables ( ATF 145 IV 154 consid. 1.1).</w:t>
      </w:r>
    </w:p>
    <w:p>
      <w:r>
        <w:t>Selon l' art. 99 al. 1 LTF , aucun fait nouveau ni preuve nouvelle ne peut être présenté à moins de résulter de la décision de l'autorité précédente (cf. arrêt 7B_1405/2024 du 4 août 2025 consid. 2.1).</w:t>
      </w:r>
    </w:p>
    <w:p>
      <w:r>
        <w:rPr>
          <w:b/>
        </w:rPr>
        <w:t>E. 1.1</w:t>
      </w:r>
    </w:p>
    <w:p>
      <w:r>
        <w:t>En l'occurrence, les juges cantonaux ont considéré qu'il n'existait aucun motif laissant entrevoir que le défenseur d'office du recourant n'assurerait pas une défense efficace de celui-ci ou que la relation de confiance entre eux serait gravement perturbée.</w:t>
      </w:r>
    </w:p>
    <w:p>
      <w:r>
        <w:t>Dans son recours, le recourant se contente, en substance, de répéter sa version des faits et de substituer son appréciation de ceux-ci à celle de la cour cantonale sans discuter les considérants de la décision litigieuse. Cette argumentation n'est ainsi pas de nature à démontrer l'existence d'une violation du droit fédéral (cf. art. 42 al. 1 et 2 LTF ) et moins encore celle d'un droit fondamental du recourant (cf. art. 106 al. 2 LTF ). Il en va par ailleurs de même des faits nouveaux invoqués par le recourant dans son complément de recours, lesquels sont irrecevables (cf. art. 99 LTF ).</w:t>
      </w:r>
    </w:p>
    <w:p>
      <w:r>
        <w:rPr>
          <w:b/>
        </w:rPr>
        <w:t>E. 2</w:t>
      </w:r>
    </w:p>
    <w:p>
      <w:r>
        <w:t>L'irrecevabilité manifeste du recours doit dès lors être constatée dans la procédure prévue par l' art. 108 al. 1 let. b LTF . 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