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7B_669/2024 vom 15. August 2024</w:t>
      </w:r>
    </w:p>
    <w:p>
      <w:r>
        <w:t>Bundesgericht, 2024-08-15, DE</w:t>
      </w:r>
    </w:p>
    <w:p>
      <w:r>
        <w:rPr>
          <w:b/>
        </w:rPr>
        <w:t xml:space="preserve">Quelle: </w:t>
      </w:r>
      <w:r>
        <w:t>https://mcp.opencaselaw.ch/entscheid/bger_7B_669_2024</w:t>
      </w:r>
    </w:p>
    <w:p>
      <w:r>
        <w:t>FR: TF 7B_669/2024 du 15 août 2024</w:t>
      </w:r>
    </w:p>
    <w:p>
      <w:r>
        <w:t>IT: TF 7B_669/2024 del 15 agosto 2024</w:t>
      </w:r>
    </w:p>
    <w:p>
      <w:pPr>
        <w:pStyle w:val="Heading2"/>
      </w:pPr>
      <w:r>
        <w:t>Erwägungen</w:t>
      </w:r>
    </w:p>
    <w:p>
      <w:r>
        <w:rPr>
          <w:b/>
        </w:rPr>
        <w:t>E. 1</w:t>
      </w:r>
    </w:p>
    <w:p>
      <w:r>
        <w:t>Das Obergericht des Kantons Bern trat mit Verfügung vom 29. Mai 2024 nicht auf eine Beschwerde gegen eine Nichtanhandnahmeverfügung der Regionalen Staatsanwaltschaft Bern-Mittelland vom 26. April 2024 ein, dem eine Strafanzeige des Beschwerdeführers gegen unbekannte Täterschaft wegen «Missbrauchs von Unterschriften», «medizinische[m] Sabotage-Terrorismus» und «Fälschung von Behauptungen» zugrunde lag. Der Beschwerdeführer wendete sich dagegen mit Beschwerde in Strafsachen vom 18. Juni 2024 ans Bundesgericht. Am 6. August 2024 gelangte der Beschwerdeführer mit einer weiteren Eingabe ans Bundesgericht, mit welcher er seine Beschwerde ergänzen wollte. Diese ist verspätetet (vgl. Art. 100 Abs. 1 BGG ).</w:t>
      </w:r>
    </w:p>
    <w:p>
      <w:r>
        <w:rPr>
          <w:b/>
        </w:rPr>
        <w:t>E. 2</w:t>
      </w:r>
    </w:p>
    <w:p>
      <w:r>
        <w:t>Gegenstand des bundesgerichtlichen Verfahrens ist ausschliesslich die angefochtene Verfügung des Obergerichts vom 29. Mai 2024 (vgl. Art. 80 Abs. 1, Art. 90 BGG ). Von vornherein nicht zu hören ist der Beschwerdeführer daher mit Ausführungen und Vorbringen, die ausserhalb des durch diese Verfügung begrenzten Streitgegenstands liegen.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namentlich, wenn sich die Beschwerde - wie vorliegend - gegen die Nichtanhandnahme oder Einstellung eines Verfahrens richtet (ausführlich hierzu Urteile 7B_182/2024 vom 26. März 2024 E. 2.1.2; 7B_18/2024 vom 14. März 2024 E. 2; je mit Hinweisen).</w:t>
      </w:r>
    </w:p>
    <w:p>
      <w:r>
        <w:rPr>
          <w:b/>
        </w:rPr>
        <w:t>E. 4</w:t>
      </w:r>
    </w:p>
    <w:p>
      <w:r>
        <w:t>Der Beschwerdeführer legt die Beschwerdelegitimation bzw. einen dem Beschwerdeführer allenfalls zustehenden Zivilanspruch im Sinne von Art. 81 Abs. 1 lit. b Ziff. 5 BGG nicht ansatzweise dar. Zudem begründet er nicht, weshalb die angefochtene Verfügung in tatsächlicher oder rechtlicher Hinsicht fehlerhaft sein sollte. Die kaum nachvollziehbaren Ausführungen in der Beschwerdeschrift setzen sich nicht materiell mit den vorinstanzlichen Erwägungen auseinander, sondern werden lediglich zum Anlass genommen, um im Stil eines freien Plädoyers darzulegen, wie sich der Sachverhalt aus Sicht des Beschwerdeführers zugetragen habe und welche rechtlichen Folgen sich daraus ergeben sollten. Insgesamt vermag die Beschwerde den Begründungsanforderungen nicht zu genügen. Der Begründungsmangel ist offensichtlich, auf die Beschwerde ist nicht einzutreten ( Art. 108 Abs. 1 lit. b BGG ).</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