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663/2023 vom 30. Oktober 2023</w:t>
      </w:r>
    </w:p>
    <w:p>
      <w:r>
        <w:t>Bundesgericht, 2023-10-30, FR</w:t>
      </w:r>
    </w:p>
    <w:p>
      <w:r>
        <w:rPr>
          <w:b/>
        </w:rPr>
        <w:t xml:space="preserve">Quelle: </w:t>
      </w:r>
      <w:r>
        <w:t>https://mcp.opencaselaw.ch/entscheid/bger_7B_663_2023</w:t>
      </w:r>
    </w:p>
    <w:p>
      <w:r>
        <w:t>FR: TF 7B 663/2023 du 30 octobre 2023</w:t>
      </w:r>
    </w:p>
    <w:p>
      <w:r>
        <w:t>IT: TF 7B 663/2023 del 30 ottobre 2023</w:t>
      </w:r>
    </w:p>
    <w:p>
      <w:pPr>
        <w:pStyle w:val="Heading2"/>
      </w:pPr>
      <w:r>
        <w:t>Regeste</w:t>
      </w:r>
    </w:p>
    <w:p>
      <w:r>
        <w:t>Refus du report de l'exécution de l'expulsion obligatoire (art. 66d CP); irrecevabilité du recours en matière pénale (motivation insuffisante) | Droit pénal (en général)</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 recourant ne faisait pas valoir une modification des circonstances déterminantes depuis le prononcé de son expulsion pénale. Il ne pouvait en effet pas invoquer des motifs, qui existaient au moment de sa condamnation et qui auraient dû être soulevés dans le cadre du procès pénal, pour obtenir le report de l'exécution de son expulsion selon l' art. 66d CP . Il ne pouvait ainsi pas, sans se référer à des événements récents, se prévaloir de la situation en Somalie et de la proximité de sa famille avec le régime de Sheikh Sharif dont le mandat avait pris fin en 2012, ainsi que d'attentats dont sa famille auraient été la cible par le passé (cf. arrêt attaqué, consid. 2b p. 7). Pour le surplus, l'autorité précédente a relevé que la condition prévue à l' art. 66d al. 1 let. a CP n'était pas réalisée, dès lors que la demande d'asile du recourant avait été définitivement rejetée en 2013. Les éléments allégués par le recourant n'étaient finalement pas de nature à démontrer, au sens de l' art. 66d al. 1 let. b CP , qu'il serait exposé à un risque sérieux pour sa vie ou à être soumis à la torture en cas de renvoi dans son pays d'origine (cf. arrêt attaqué, consid. 2c p. 7 ss).</w:t>
      </w:r>
    </w:p>
    <w:p>
      <w:r>
        <w:rPr>
          <w:b/>
        </w:rPr>
        <w:t>E. 1.3</w:t>
      </w:r>
    </w:p>
    <w:p>
      <w:r>
        <w:t>Face à la motivation cantonale, le recourant ne conteste pas avoir invoqué des éléments qui auraient dû être soulevés, dans le cadre du procès pénal, devant les autorités pénales chargées d'examiner les éventuels obstacles à l'expulsion. Il ne démontre aucunement s'être prévalu d'une modification de circonstances déterminantes depuis le prononcé de son expulsion. Ce faisant, il ne critique pas l'un des motifs évoqués par la cour cantonale et qui, à lui seul, fonde l'arrêt attaqué (cf. sur ce point: ATF 147 IV 453 consid. 1.4.7 s. et les réf. citées; arrêt 6B_884/2022 du 20 décembre 2022 consid. 3.2.1). En tout état, le recourant - qui se limite pour l'essentiel à rappeler la situation générale en Somalie et à demander "le droit international comme réfugier [sic] politique" - ne soulève aucune critique, conforme aux exigences en la matière, propre à mettre en évidence en quoi la cour cantonale aurait violé le droit (soit en particulier l' art. 66d CP ) en confirmant le refus de report de son expulsion pénale.</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Comme le recours était dénué de chances de succès, la demande d'assistance judiciaire doit être rejetée, ce qui relève également de la compétence du juge unique prévu par l' art. 108 LTF ( art. 64 al. 3 2 e phrase LTF; arrêt 7B_340/2023 du 7 août 2023 consid. 2 et les réf. citées).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