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660/2023 vom 19. Oktober 2023</w:t>
      </w:r>
    </w:p>
    <w:p>
      <w:r>
        <w:t>Bundesgericht, 2023-10-19, DE</w:t>
      </w:r>
    </w:p>
    <w:p>
      <w:r>
        <w:rPr>
          <w:b/>
        </w:rPr>
        <w:t xml:space="preserve">Quelle: </w:t>
      </w:r>
      <w:r>
        <w:t>https://mcp.opencaselaw.ch/entscheid/bger_7B_660_2023</w:t>
      </w:r>
    </w:p>
    <w:p>
      <w:r>
        <w:t>FR: TF 7B 660/2023 du 19 octobre 2023</w:t>
      </w:r>
    </w:p>
    <w:p>
      <w:r>
        <w:t>IT: TF 7B 660/2023 del 19 ottobre 2023</w:t>
      </w:r>
    </w:p>
    <w:p>
      <w:pPr>
        <w:pStyle w:val="Heading2"/>
      </w:pPr>
      <w:r>
        <w:t>Regeste</w:t>
      </w:r>
    </w:p>
    <w:p>
      <w:r>
        <w:t>Einstellung des Stafverfahrens (Üble Nachrede); Nichteintreten | Strafprozess</w:t>
      </w:r>
    </w:p>
    <w:p>
      <w:pPr>
        <w:pStyle w:val="Heading2"/>
      </w:pPr>
      <w:r>
        <w:t>Erwägungen</w:t>
      </w:r>
    </w:p>
    <w:p>
      <w:r>
        <w:rPr>
          <w:b/>
        </w:rPr>
        <w:t>E. 1</w:t>
      </w:r>
    </w:p>
    <w:p>
      <w:r>
        <w:t>Die Staatsanwaltschaft des Kantons Schaffhausen verfügte am 6. Juli 2023 die Einstellung des Strafverfahrens gegen B.________ wegen übler Nachrede. Dagegen erhob der Beschwerdeführer Beschwerde beim Obergericht des Kantons Schaffhausen. Dieses setzte eine Frist zur Leistung des Kostenvorschusses an, woraufhin der Beschwerdeführer am 16. August 2023 ein Gesuch um Gewährung der unentgeltlichen Rechtspflege und Einsetzung von Rechtsanwältin C.________ als unentgeltliche Rechtsbeiständin stellte. Mit Verfügung vom 22. August 2023 wies das Obergericht dieses Gesuch ab und setzte dem Beschwerdeführer unter Androhung der Säumnisfolgen eine erneute Frist zur Sicherheitsleistung bis zum 4. September 2023 an. Der Beschwerdeführer gelangt gegen diese Verfügung am 18. September 2023 ans Bundesgericht und beantragt sinngemäss, die Sache sei an die Vorinstanz zur Begründung des ablehnenden Entscheids auf unentgeltliche Rechtspflege zurückzuweisen, eventualiter sei die Frist zur Leistung der Sicherheit neu anzusetzen.</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w:t>
      </w:r>
    </w:p>
    <w:p>
      <w:r>
        <w:t>Die Vorinstanz erwägt, die Verfahrensleitung gewähre der Privatklägerschaft für die Durchsetzung ihrer Zivilansprüche ganz oder teilweise die unentgeltliche Rechtspflege, wenn diese nicht über die erforderlichen Mittel verfüge und die Zivilklage nicht aussichtslos erscheine. Keine Zivilansprüche seien Ansprüche, die sich aus dem öffentlichen Recht ergäben. Das zur Anzeige gebrachte Verhalten von B.________ sei in Ausübung amtlicher Verrichtung erfolgt, was der Beschwerdeführer anerkenne. Der Beschwerdeführer lege in seinem Gesuch nicht dar, inwiefern ihm gleichwohl zivilrechtliche Ansprüche gegen B.________ zustehen sollen. Eine allfällige Zivilklage wäre damit aussichtslos, weshalb dem Beschwerdeführer kein Anspruch auf Gewährung der unentgeltlichen Rechtspflege aus Art. 136 Abs. 1 StPO zukomme. Des Weiteren sei nicht ersichtlich, dass der Beschwerdeführer Opfer unzulässiger staatlicher Gewalt geworden sei und daher unmittelbar gestützt auf Art. 29 Abs. 3 BV Anspruch auf Gewährung der unentgeltlichen Rechtspflege habe.</w:t>
      </w:r>
    </w:p>
    <w:p>
      <w:r>
        <w:rPr>
          <w:b/>
        </w:rPr>
        <w:t>E. 4</w:t>
      </w:r>
    </w:p>
    <w:p>
      <w:r>
        <w:t>Der Beschwerdeführer setzt sich nur der Form nach mit diesen Erwägungen der Vorinstanz auseinander. Er stellt die Behauptung auf, die Vorinstanz begründe nicht, weshalb sie sein Gesuch um unentgeltliche Rechtspflege ablehne. Sie habe es unterlassen, in dieser Sache überhaupt Erwägungen zu machen, und habe "ausschliesslich mit Erwägungen in Bezug auf allfällige Zivilansprüche und Haftung im öffentlichen Recht" entschieden. Angesichts der angeführten Erwägungen der Vorinstanz, welche sich inhaltlich ausschliesslich damit beschäftigt, weshalb das Gesuch des Beschwerdeführers um unentgeltliche Rechtspflege abzulehnen ist, ist diese Behauptung offenkundig unzutreffend. Insgesamt ergibt sich aus der Beschwerde nicht ansatzweise, inwiefern die vorinstanzliche Verfügung geltendes Recht im Sinne von Art. 95 BGG verletzen soll. Die Beschwerde vermag damit offensichtlich den Anforderungen an die Begründung im Sinne von Art. 42 Abs. 2 BGG nicht zu genügen.</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