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7B_656/2023 vom 25. Oktober 2023</w:t>
      </w:r>
    </w:p>
    <w:p>
      <w:r>
        <w:t>Bundesgericht, 2023-10-25, DE</w:t>
      </w:r>
    </w:p>
    <w:p>
      <w:r>
        <w:rPr>
          <w:b/>
        </w:rPr>
        <w:t xml:space="preserve">Quelle: </w:t>
      </w:r>
      <w:r>
        <w:t>https://mcp.opencaselaw.ch/entscheid/bger_7B_656_2023</w:t>
      </w:r>
    </w:p>
    <w:p>
      <w:r>
        <w:t>FR: TF 7B_656/2023 du 25 octobre 2023</w:t>
      </w:r>
    </w:p>
    <w:p>
      <w:r>
        <w:t>IT: TF 7B_656/2023 del 25 ottobre 2023</w:t>
      </w:r>
    </w:p>
    <w:p>
      <w:pPr>
        <w:pStyle w:val="Heading2"/>
      </w:pPr>
      <w:r>
        <w:t>Erwägungen</w:t>
      </w:r>
    </w:p>
    <w:p>
      <w:r>
        <w:rPr>
          <w:b/>
        </w:rPr>
        <w:t>E. 1</w:t>
      </w:r>
    </w:p>
    <w:p>
      <w:r>
        <w:t>Mit Beschluss vom 29. August 2023 trat die Beschwerdekammer des Bundesstrafgerichts nicht auf eine von A.________ erhobene Beschwerde ein, da diese nicht unterschrieben war und der Formmangel trotz Aufforderung zur Verbesserung auch nicht behoben wurde.</w:t>
      </w:r>
    </w:p>
    <w:p>
      <w:r>
        <w:t>Das Bundesstrafgericht übermittelte dem Bundesgericht am 19. September 2023 zuständigkeitshalber eine von A.________ bei ihm eingereichte Eingabe, mit welcher dieser Beschwerde gegen den Beschluss vom 29. August 2023 erhob.</w:t>
      </w:r>
    </w:p>
    <w:p>
      <w:r>
        <w:rPr>
          <w:b/>
        </w:rPr>
        <w:t>E. 2</w:t>
      </w:r>
    </w:p>
    <w:p>
      <w:r>
        <w:t>Mit Verfügung vom 21. September 2023 forderte das Bundesgericht A.________ auf, bis zum 6. Oktober 2023 seine Beschwerde mit einer Begründung und einem Begehren zu versehen, ansonsten auf die Beschwerde nicht eingetreten werden könne. Innert Frist ist dem Bundesgericht keine Ergänzung bzw. Verbesserung der Beschwerde eingegangen. Androhungsgemäss ist deshalb auf die Beschwerde im vereinfachten Verfahren nach Art. 108 Abs. 1 BGG wegen Verletzung der Begründungspflicht nicht einzutreten.</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