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7B_655/2024 vom 4. Juli 2024</w:t>
      </w:r>
    </w:p>
    <w:p>
      <w:r>
        <w:t>Bundesgericht, 2024-07-04, DE</w:t>
      </w:r>
    </w:p>
    <w:p>
      <w:r>
        <w:rPr>
          <w:b/>
        </w:rPr>
        <w:t xml:space="preserve">Quelle: </w:t>
      </w:r>
      <w:r>
        <w:t>https://mcp.opencaselaw.ch/entscheid/bger_7B_655_2024</w:t>
      </w:r>
    </w:p>
    <w:p>
      <w:r>
        <w:t>FR: TF 7B_655/2024 du 4 juillet 2024</w:t>
      </w:r>
    </w:p>
    <w:p>
      <w:r>
        <w:t>IT: TF 7B_655/2024 del 4 luglio 2024</w:t>
      </w:r>
    </w:p>
    <w:p>
      <w:pPr>
        <w:pStyle w:val="Heading2"/>
      </w:pPr>
      <w:r>
        <w:t>Erwägungen</w:t>
      </w:r>
    </w:p>
    <w:p>
      <w:r>
        <w:rPr>
          <w:b/>
        </w:rPr>
        <w:t>E. 1</w:t>
      </w:r>
    </w:p>
    <w:p>
      <w:r>
        <w:t>Die Staatsanwaltschaft I des Kantons Zürich führt eine Strafuntersuchung gegen A.________ wegen mehrfacher, teilweise versuchter, Brandstiftung und weiterer Delikte. Mit Verfügung vom 18. März 2024 versetzte das Zwangsmassnahmengericht des Bezirks Winterthur A.________ in Untersuchungshaft. Ein von diesem am 31. März 2024 gestelltes Haftentlassungsgesuch wies das Zwangsmassnahmengericht des Bezirks Zürich mit Verfügung vom 11. April 2024 ab. Nach persönlicher Anhörung von A.________ und der Einholung einer Stellungnahme seines Verteidigers wies das Zwangsmassnahmengericht ein zweites Haftentlassungsgesuch mit Verfügung vom 2. Mai 2024 wiederum ab. Die von A.________ dagegen erhobene Beschwerde wies das Obergericht des Kantons Zürich mit Beschluss vom 27. Mai 2024 ab.</w:t>
      </w:r>
    </w:p>
    <w:p>
      <w:r>
        <w:rPr>
          <w:b/>
        </w:rPr>
        <w:t>E. 2</w:t>
      </w:r>
    </w:p>
    <w:p>
      <w:r>
        <w:t>Gegen den Beschluss des Obergerichts vom 27. Mai 2024 führt A.________ mit Eingabe vom 7. Juni 2024, ergänzt am 17. Juni 2024, Beschwerde in Strafsachen an das Bundesgericht. Er beantragt seine sofortige Haftentlassung</w:t>
      </w:r>
    </w:p>
    <w:p>
      <w:r>
        <w:t>Das Bundesgericht verzichtet auf die Einholung von Vernehmlassungen.</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kantonalem Recht und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in seinen teilweise nur schwer verständlichen Eingaben nicht ansatzweise mit den Erwägungen des angefochtenen Entscheids auseinander. Vielmehr beschränkt er sich darauf, seine Unschuld zu bekräftigen, indem er die Geschehnisse, die zu seiner strafprozessualen Inhaftierung geführt haben, aus seiner Sichtweise zu schildern. Mit derartiger appellatorischer Kritik vermag er von vornherein nicht konkret aufzuzeigen, inwiefern die Begründung der Vorinstanz rechts- bzw. verfassungswidrig sein soll. Die Beschwerde genügt damit den dargelegten gesetzlichen Formerfordernissen offensichtlich nicht, weshalb auf sie im vereinfachten Verfahren nach Art. 108 Abs. 1 lit. b StPO nicht einzutreten ist. Bei diesem Verfahrensausgang wird der Beschwerdeführer kostenpflichtig ( Art. 66 Abs. 1 BGG ). Umständehalber kann ausnahmsweise auf die Auferlegung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