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650/2024 vom 23. Juli 2024</w:t>
      </w:r>
    </w:p>
    <w:p>
      <w:r>
        <w:t>Bundesgericht, 2024-07-23, FR</w:t>
      </w:r>
    </w:p>
    <w:p>
      <w:r>
        <w:rPr>
          <w:b/>
        </w:rPr>
        <w:t xml:space="preserve">Quelle: </w:t>
      </w:r>
      <w:r>
        <w:t>https://mcp.opencaselaw.ch/entscheid/bger_7B_650_2024</w:t>
      </w:r>
    </w:p>
    <w:p>
      <w:r>
        <w:t>FR: TF 7B 650/2024 du 23 juillet 2024</w:t>
      </w:r>
    </w:p>
    <w:p>
      <w:r>
        <w:t>IT: TF 7B 650/2024 del 23 luglio 2024</w:t>
      </w:r>
    </w:p>
    <w:p>
      <w:pPr>
        <w:pStyle w:val="Heading2"/>
      </w:pPr>
      <w:r>
        <w:t>Regeste</w:t>
      </w:r>
    </w:p>
    <w:p>
      <w:r>
        <w:t>Ordonnance de non-entrée en matière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il ressort de l'arrêt attaqué que, le 19 février 2024, le recourant avait déposé plainte contre B.________ pour "appropriation illicite d'objets confiés en dépôt". Il reprochait au précité d'avoir évacué, puis de s'être approprié, des biens mobiliers entreposés dans un garde-meubles qu'il (lui, le recourant) avait pris en location, entre 2006 et 2009, auprès de la société C.________ Sàrl, dont B.________ était l'associé gérant (cf. arrêt attaqué, Faits, let. B.b p. 2).</w:t>
      </w:r>
    </w:p>
    <w:p>
      <w:r>
        <w:rPr>
          <w:b/>
        </w:rPr>
        <w:t>E. 1.3.1</w:t>
      </w:r>
    </w:p>
    <w:p>
      <w:r>
        <w:t>Il peut être déduit du mémoire de recours que le recourant entend se faire indemniser par B.________ pour le dommage qu'il prétend avoir subi en raison des faits décrits ci-avant.</w:t>
      </w:r>
    </w:p>
    <w:p>
      <w:r>
        <w:rPr>
          <w:b/>
        </w:rPr>
        <w:t>E. 1.3.2</w:t>
      </w:r>
    </w:p>
    <w:p>
      <w:r>
        <w:t>C'est toutefois le lieu de rappeler qu'une action civile par adhésion à la procédure pénale présuppose, afin d'éviter des jugements contradictoires, que les prétentions civiles ne fassent pas l'objet d'une autre litispendance ou d'une décision entrée en force ( ATF 145 IV 351 consid 4.3). La partie plaignante n'est en effet pas habilitée à recourir en matière pénale lorsque les prétentions civiles sont traitées dans une procédure civile parallèle ou qu'elles ont été résolues d'une autre manière (arrêt 7B_283/2024 du 9 avril 2024 consid. 1.3.2 et les arrêts cités). Cela étant relevé, le recourant ne conteste pas avoir déjà saisi les juridictions civiles, en 2011, d'une action contre B.________ relativement au dommage qu'il aurait subi en lien avec les biens qui auraient été évacués sans ménagement du garde-meubles qu'il louait. Or cette action avait été rejetée par jugement du Tribunal genevois de première instance du 25 février 2013. Ce jugement avait ensuite été confirmé sur appel par arrêt de la Cour de justice du 8 novembre 2013 et le recourant avait encore vainement saisi le Tribunal fédéral d'un recours en matière civile (cf. arrêt 4A_613/2013 du 21 février 2014; arrêt attaqué, Faits, let. B.b p. 2).</w:t>
      </w:r>
    </w:p>
    <w:p>
      <w:r>
        <w:rPr>
          <w:b/>
        </w:rPr>
        <w:t>E. 1.3.3</w:t>
      </w:r>
    </w:p>
    <w:p>
      <w:r>
        <w:t>Il paraît donc que les prétentions civiles du recourant font déjà l'objet d'une décision entrée en force, ce qui est de nature à faire obstacle à l'exercice d'une action civile par adhésion à la procédure pénale. Dans un tel contexte, il aurait à tout le moins appartenu au recourant de préciser en quoi les conclusions prises contre B.________ devant les juridictions civiles se distingueraient de celles de son éventuelle action civile par adhésion à la procédure pénale, ce qu'il ne fait aucunement. Dans cette mesure, le recourant ne parvient pas à démontrer qu'il dispose de la qualité pour recourir au regard de l'art. 81 al. 1 let. b ch. 5 LTF.</w:t>
      </w:r>
    </w:p>
    <w:p>
      <w:r>
        <w:rPr>
          <w:b/>
        </w:rPr>
        <w:t>E. 2</w:t>
      </w:r>
    </w:p>
    <w:p>
      <w:r>
        <w:t>L'hypothèse visée à l'art. 81 al. 1 let. b ch. 6 LTF n'entre pas non plus en considération, le recourant ne soulevant aucun grief quant à son droit de porter plainte. On observera en particulier que le recourant ne revient pas sur le constat opéré par la cour cantonale quant au caractère tardif de sa plainte, en tant qu'elle portait sur l'infraction de dommages à la propriété ( art. 144 al. 1 CP ; cf. arrêt attaqué, consid. 3.6 p. 5 s.).</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En tant que le recourant semble se plaindre d'avoir été invité par la cour cantonale à fournir des sûretés pour couvrir les frais afférents à son recours (cf. art. 383 CPP ), il apparaît qu'il en a finalement été dispensé en raison de sa situation financière défavorable (cf. arrêt attaqué, Faits, let. A.b p. 2). La cour cantonale est ainsi entrée en matière sur le recours après avoir constaté qu'il était recevable en la forme (cf. arrêt attaqué, consid. 1 p. 3). Comme celui-ci a toutefois été jugé mal fondé, la cour cantonale pouvait valablement renoncer à ordonner un échange d'écritures (cf. art. 390 al. 2 CPP a contrario ), sans violer le droit d'être entendu du recourant. Cela étant, on ne distingue aucun grief qui justifierait d'entrer en matière sur le recours indépendamment des conditions de l' art. 81 al. 1 LTF .</w:t>
      </w:r>
    </w:p>
    <w:p>
      <w:r>
        <w:rPr>
          <w:b/>
        </w:rPr>
        <w:t>E. 4</w:t>
      </w:r>
    </w:p>
    <w:p>
      <w:r>
        <w:t>Dès lors qu'il ne satisfait manifestement pas aux conditions de recevabilité d'un recours en matière pénale au Tribunal fédéral (art. 42 al. 1 et 2 et 106 al. 2 LTF), le recours doit être écarté selon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