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7B_649/2024 vom 5. Juli 2024</w:t>
      </w:r>
    </w:p>
    <w:p>
      <w:r>
        <w:t>Bundesgericht, 2024-07-05, DE</w:t>
      </w:r>
    </w:p>
    <w:p>
      <w:r>
        <w:rPr>
          <w:b/>
        </w:rPr>
        <w:t xml:space="preserve">Quelle: </w:t>
      </w:r>
      <w:r>
        <w:t>https://mcp.opencaselaw.ch/entscheid/bger_7B_649_2024</w:t>
      </w:r>
    </w:p>
    <w:p>
      <w:r>
        <w:t>FR: TF 7B_649/2024 du 5 juillet 2024</w:t>
      </w:r>
    </w:p>
    <w:p>
      <w:r>
        <w:t>IT: TF 7B_649/2024 del 5 luglio 2024</w:t>
      </w:r>
    </w:p>
    <w:p>
      <w:pPr>
        <w:pStyle w:val="Heading2"/>
      </w:pPr>
      <w:r>
        <w:t>Erwägungen</w:t>
      </w:r>
    </w:p>
    <w:p>
      <w:r>
        <w:rPr>
          <w:b/>
        </w:rPr>
        <w:t>E. 1</w:t>
      </w:r>
    </w:p>
    <w:p>
      <w:r>
        <w:t>Am 15. Januar 2023 erstattete B.________ im Namen von sich und der Beschwerdeführerin bei der Staatsanwaltschaft Limmattal/Albis Strafanzeige gegen C.________ und D.________ wegen Unterdrückung von Urkunden, Amtsmissbrauch und eventuell Diebstahl. Am 21. März 2023 verfügte die Staatsanwaltschaft je die Nichtanhandnahme einer Strafuntersuchung betreffend Unterdrückung von Urkunden. Die Beschwerdeführerin erhob dagegen am 16. Juni 2023 fristgerecht Beschwerde beim Obergericht des Kantons Zürich, welches diese mit Beschluss vom 8. Mai 2024 abwies. Die Beschwerdeführerin gelangt am 12. Juni 2024 mit Beschwerde in Strafsachen ans Bundesgericht.</w:t>
      </w:r>
    </w:p>
    <w:p>
      <w:r>
        <w:rPr>
          <w:b/>
        </w:rPr>
        <w:t>E. 2</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rPr>
          <w:b/>
        </w:rPr>
        <w:t>E. 3</w:t>
      </w:r>
    </w:p>
    <w:p>
      <w:r>
        <w:t>Gemäss § 6 des zürcherischen Haftungsgesetzes vom 14. September 1969 (LS 170.1) haftet der Kanton für den Schaden, den ein Angestellter in Ausübung amtlicher Verrichtungen einer dritten Person widerrechtlich zufügt (Abs. 1). Dem Geschädigten steht kein Anspruch gegen den Angestellten zu (Abs. 4). Das Gesetz gilt für den Kanton und für die Gemeinden und für die in ihrem Dienste stehenden Personen (§§ 1 und 2). Die von der Beschwerdeführerin angezeigten Personen, D.________ und C.________, sind beim Sozialamt U.________, einer Gemeindebehörde im Kanton Zürich, beschäftigt. Der Beschwerdeführerin steht somit aufgrund des behaupteten Vorgehens der angezeigten Personen allenfalls ein öffentlich-rechtlicher Anspruch gegen den Staat zu. Zivilansprüche im Sinne von Art. 81 Abs. 1 lit. b Ziff. 5 BGG, welche zur Beschwerde berechtigen würden, hat die Beschwerdeführerin demgegenüber nicht. Auf die Beschwerde kann daher nicht eingetreten werden ( Art. 108 Abs. 1 lit. a BGG ).</w:t>
      </w:r>
    </w:p>
    <w:p>
      <w:r>
        <w:rPr>
          <w:b/>
        </w:rPr>
        <w:t>E. 4</w:t>
      </w:r>
    </w:p>
    <w:p>
      <w:r>
        <w:t>Auf die Beschwerde ist im Verfahren nach Art. 108 BGG nicht einzutreten. Die Gerichtskosten sind der Beschwerdeführerin aufzuerlegen ( Art. 66 Abs. 1 BGG ). Das Gesuch um unentgeltliche Rechtspflege ist wegen offensichtlicher Aussichtslosigkeit der Begehren abzuweisen ( Art. 64 Abs. 1 BGG ). Soweit die Beschwerdeführerin mit einem Eventualantrag um die Beigabe eines unentgeltlichen Rechtsanwalts ersucht, ist darauf hinzuweisen, dass es im bundesgerichtlichen Verfahren grundsätzlich an der rechtsuchenden Partei liegt, für eine Rechtsvertretung besorgt zu sein. Das BGG kennt das Rechtsinstitut der notwendigen Verteidigung nicht. Der Umstand, dass die Beschwerde den gesetzlichen Begründungsanforderungen nicht entspricht, begründet keine Unfähigkeit zur Prozessführung im Sinne von Art. 41 BGG . Es ist nicht erkennbar, inwieweit sich die angefochtene Entscheidung, die prima vista keine Angriffsflächen bietet, mit formgerechten Rügen erfolgreich anfechten liesse. Damit fällt auch die Beigabe eines (unentgeltlichen) Rechtsanwalts nach Art. 64 Abs. 2 BGG wegen offensichtlicher Aussichtslosigkeit der Beschwerde ausser Betracht. Den finanziellen Verhältnissen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