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7B_648/2025 vom 3. Oktober 2025</w:t>
      </w:r>
    </w:p>
    <w:p>
      <w:r>
        <w:t>Bundesgericht, 2025-10-03, DE</w:t>
      </w:r>
    </w:p>
    <w:p>
      <w:r>
        <w:rPr>
          <w:b/>
        </w:rPr>
        <w:t xml:space="preserve">Quelle: </w:t>
      </w:r>
      <w:r>
        <w:t>https://mcp.opencaselaw.ch/entscheid/bger_7B_648_2025</w:t>
      </w:r>
    </w:p>
    <w:p>
      <w:r>
        <w:t>FR: TF 7B_648/2025 du 3 octobre 2025</w:t>
      </w:r>
    </w:p>
    <w:p>
      <w:r>
        <w:t>IT: TF 7B_648/2025 del 3 ottobre 2025</w:t>
      </w:r>
    </w:p>
    <w:p>
      <w:pPr>
        <w:pStyle w:val="Heading2"/>
      </w:pPr>
      <w:r>
        <w:t>Erwägungen</w:t>
      </w:r>
    </w:p>
    <w:p>
      <w:r>
        <w:rPr>
          <w:b/>
        </w:rPr>
        <w:t>E. 1</w:t>
      </w:r>
    </w:p>
    <w:p>
      <w:r>
        <w:t>Mit drei Entscheiden vom 3. Juni 2025 trat das Kantonsgericht Basel-Landschaft nicht auf drei Beschwerden des Beschwerdeführers gegen drei Nichtanhandnahmeverfügungen der Staatsanwaltschaft Basel-Landschaft vom 7. April 2025 ein. Der Beschwerdeführer gelangte gegen diese Entscheide mit Beschwerden in Strafsachen vom 12. Juli 2025 (Postaufgabe) an das Bundesgericht.</w:t>
      </w:r>
    </w:p>
    <w:p>
      <w:r>
        <w:rPr>
          <w:b/>
        </w:rPr>
        <w:t>E. 2</w:t>
      </w:r>
    </w:p>
    <w:p>
      <w:r>
        <w:t>Die Verfahren 7B_648/2025, 7B_649/2025 und 7B_650/2025 sind zu vereinigen und die Beschwerden in einem einzigen Entscheid zu behandeln ( Art. 71 BGG i.V.m. Art. 24 Abs. 2 lit. b BZP [SR 273]; BGE 133 IV 215 E. 1; 126 V 283 E. 1).</w:t>
      </w:r>
    </w:p>
    <w:p>
      <w:r>
        <w:rPr>
          <w:b/>
        </w:rPr>
        <w:t>E. 3</w:t>
      </w:r>
    </w:p>
    <w:p>
      <w:r>
        <w:t>Bei den vom Beschwerdeführer angezeigten Personen handelt es sich um Mitarbeiter der Gemeinde U.________, die den Beschwerdeführer wegen einem mutmasslichen Sozialhilfebetrug angezeigt hatten (siehe Beschwerdebeilage Nr. 27). Gegen diese können für allfällige in amtlicher Ausübung zugefügte Schäden allenfalls öffentlich-rechtliche Ansprüche bestehen, nicht jedoch Zivilansprüche (§ 3 Abs. 1 und 2 des Gesetzes über die Haftung des Kantons und der Gemeinden des Kantons Basel-Landschaft [Haftungsgesetz; SGS-BL Nr. 105]). Die Beschwerden des Beschwerdeführers sind daher mangels Zivilanspruch, der dem Beschwerdeführer zustehen könnte (Art. 81 Abs. 1 lit. b Ziff. 5 BGG),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ersichtlich. Formelle Rügen, zu deren Geltendmachung der Beschwerdeführer auch ohne Sachlegitimation befugt wäre, da sie namentlich von der Prüfung der Sache getrennt werden können (sog. "Star-Praxis"; BGE 146 IV 76 E. 2; 141 IV 1 E. 1.1), werden zwar sinngemäss erhoben. Was der Beschwerdeführer jedoch gegen die aus seiner Sicht zu Unrecht verweigerte Fristwiederherstellung anführt geht nicht über unzulässige appellatorische Kritik hinaus ( BGE 148 IV 356 E. 2.1, 39 E. 2.3.5; 147 IV 73 E. 4.1.2; je mit Hinweisen). Auch darauf ist nicht einzutreten.</w:t>
      </w:r>
    </w:p>
    <w:p>
      <w:r>
        <w:rPr>
          <w:b/>
        </w:rPr>
        <w:t>E. 4</w:t>
      </w:r>
    </w:p>
    <w:p>
      <w:r>
        <w:t>Insgesamt ist auf die Beschwerden im vereinfachten Verfahren nach Art. 108 BGG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