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647/2023 vom 9. Oktober 2023</w:t>
      </w:r>
    </w:p>
    <w:p>
      <w:r>
        <w:t>Bundesgericht, 2023-10-09, FR</w:t>
      </w:r>
    </w:p>
    <w:p>
      <w:r>
        <w:rPr>
          <w:b/>
        </w:rPr>
        <w:t xml:space="preserve">Quelle: </w:t>
      </w:r>
      <w:r>
        <w:t>https://mcp.opencaselaw.ch/entscheid/bger_7B_647_2023</w:t>
      </w:r>
    </w:p>
    <w:p>
      <w:r>
        <w:t>FR: TF 7B 647/2023 du 9 octobre 2023</w:t>
      </w:r>
    </w:p>
    <w:p>
      <w:r>
        <w:t>IT: TF 7B 647/2023 del 9 ottobre 2023</w:t>
      </w:r>
    </w:p>
    <w:p>
      <w:pPr>
        <w:pStyle w:val="Heading2"/>
      </w:pPr>
      <w:r>
        <w:t>Regeste</w:t>
      </w:r>
    </w:p>
    <w:p>
      <w:r>
        <w:t>Détention provisoire;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maintien du recourant en détention pour des motifs de sûreté était justifié non seulement en raison du risque de fuite, mais également en raison du risque de réitération. Pour le surplus, la durée de la détention apparaissait conforme au principe de la proportionnalité, aucune mesure de substitution n'étant propre à pallier les risques précités (cf. décision attaquée, consid. 5 ss p. 4 ss).</w:t>
      </w:r>
    </w:p>
    <w:p>
      <w:r>
        <w:rPr>
          <w:b/>
        </w:rPr>
        <w:t>E. 1.3</w:t>
      </w:r>
    </w:p>
    <w:p>
      <w:r>
        <w:t>Face à la motivation cantonale, le recourant ne propose aucune critique, conforme aux exigences en la matière, propre à mettre en évidence en quoi la cour cantonale aurait violé le droit (soit en particulier l' art. 221 CPP ) en le maintenant en détention pour des motifs de sûreté.</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