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7B_645/2025 vom 2. Oktober 2025</w:t>
      </w:r>
    </w:p>
    <w:p>
      <w:r>
        <w:t>Bundesgericht, 2025-10-02, FR</w:t>
      </w:r>
    </w:p>
    <w:p>
      <w:r>
        <w:rPr>
          <w:b/>
        </w:rPr>
        <w:t xml:space="preserve">Quelle: </w:t>
      </w:r>
      <w:r>
        <w:t>https://mcp.opencaselaw.ch/entscheid/bger_7B_645_2025</w:t>
      </w:r>
    </w:p>
    <w:p>
      <w:r>
        <w:t>FR: TF 7B_645/2025 du 2 octobre 2025</w:t>
      </w:r>
    </w:p>
    <w:p>
      <w:r>
        <w:t>IT: TF 7B_645/2025 del 2 ottobre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(arrêts 7B_1438/2024 du 29 janvier 2025 consid. 1.1; 7B_10/2021 du 26 juillet 2023 consid. 1.1.1 et les réf. citées).</w:t>
      </w:r>
    </w:p>
    <w:p>
      <w:r>
        <w:rPr>
          <w:b/>
        </w:rPr>
        <w:t>E. 1.2</w:t>
      </w:r>
    </w:p>
    <w:p>
      <w:r>
        <w:t>En l'espèce, la recourante a déposé une plainte pénale contre son ex-époux B.________ pour contrainte ( art. 181 CP ) en raison du comportement que ce dernier aurait adopté pour la forcer à signer le 2 décembre 2016, à Genève, une convention de divorce en sa défaveur. Elle soutient que la décision attaquée serait de nature à influencer négativement le jugement des prétentions civiles "en réparation du dommage ou en tort moral" qu'elle pourrait faire valoir contre son ex-époux en raison de l'infraction alléguée de contrainte. Il s'agirait, selon elle, notamment des "prétentions (matrimoniales) " découlant de la contrainte qu'elle aurait subie lors de la signature de la convention litigieuse de divorce en sa défaveur. Ces prétentions civiles dépendraient directement des actes de contrainte dénoncés, dans la mesure où la convention de divorce en question pourrait être révoquée pour des vices de la volonté avec pour conséquence d'obtenir un partage par moitié des avoirs selon la loi, respectivement conformément à une précédente convention passée en mars 2016.</w:t>
      </w:r>
    </w:p>
    <w:p>
      <w:r>
        <w:rPr>
          <w:b/>
        </w:rPr>
        <w:t>E. 2</w:t>
      </w:r>
    </w:p>
    <w:p>
      <w:r>
        <w:t>Pour le surplus, la recourante ne s'exprime, à satisfaction de droit, ni sur le principe ni sur la quotité d'un éventuel dommage ou tort moral qu'elle aurait subi en raison de l'infraction de contrainte dénoncée dans sa plainte pénale. Elle n'allègue pas, ni ne cherche à rendre vraisemblable, que les actes dénoncés lui auraient causé des atteintes psychiques et ne chiffre pas, même de manière grossière, le tort moral qu'elle entendrait réclamer. La recourante ne livre en tout état aucune explication sur les raisons qui l'empêcheraient, près de neuf ans après les faits dénoncés, de motiver plus avant ses éventuelles prétentions civiles, respectivement de les chiffrer.</w:t>
      </w:r>
    </w:p>
    <w:p>
      <w:r>
        <w:rPr>
          <w:b/>
        </w:rPr>
        <w:t>E. 2.3</w:t>
      </w:r>
    </w:p>
    <w:p>
      <w:r>
        <w:t>Il s'ensuit que la motivation de la recourante sur la question des prétentions civiles, manifestement insuffisante, exclut sa qualité pour recourir sur le fond de la cause.</w:t>
      </w:r>
    </w:p>
    <w:p>
      <w:r>
        <w:rPr>
          <w:b/>
        </w:rPr>
        <w:t>E. 3</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4</w:t>
      </w:r>
    </w:p>
    <w:p>
      <w:r>
        <w:t>L'irrecevabilité manifeste du recours doit dès lors être constatée dans la procédure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