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640/2024 vom 24. September 2024</w:t>
      </w:r>
    </w:p>
    <w:p>
      <w:r>
        <w:t>Bundesgericht, 2024-09-24, FR</w:t>
      </w:r>
    </w:p>
    <w:p>
      <w:r>
        <w:rPr>
          <w:b/>
        </w:rPr>
        <w:t xml:space="preserve">Quelle: </w:t>
      </w:r>
      <w:r>
        <w:t>https://mcp.opencaselaw.ch/entscheid/bger_7B_640_2024</w:t>
      </w:r>
    </w:p>
    <w:p>
      <w:r>
        <w:t>FR: TF 7B 640/2024 du 24 septembre 2024</w:t>
      </w:r>
    </w:p>
    <w:p>
      <w:r>
        <w:t>IT: TF 7B 640/2024 del 24 settembre 2024</w:t>
      </w:r>
    </w:p>
    <w:p>
      <w:pPr>
        <w:pStyle w:val="Heading2"/>
      </w:pPr>
      <w:r>
        <w:t>Regeste</w:t>
      </w:r>
    </w:p>
    <w:p>
      <w:r>
        <w:t>Levée de scellés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7 mai 2024, si bien que les modifications du Code de procédure pénale entrées en vigueur le 1 er janvier 2024 (RO 2023 468) sont applicables (cf. art. 448 CPP ; arrêt 7B_420/2024 du 5 août 2024 consid. 1.2).</w:t>
      </w:r>
    </w:p>
    <w:p>
      <w:r>
        <w:rPr>
          <w:b/>
        </w:rPr>
        <w:t>E. 1.3</w:t>
      </w:r>
    </w:p>
    <w:p>
      <w:r>
        <w:t>Conformément aux art. 78, 80 al. 2in fine LTF, 248a al. 4 et 5 3 e phrase, 380 et 393 al. 1 let. c CPP, le recours en matière pénale est ouvert contre les décisions en matière de levée de scellés rendues par le Tribunal des mesures de contrainte, lequel statue définitivement ( ATF 144 IV 74 consid. 2.3; 143 IV 462 consid. 1; arrêts 7B_175/2024 du 11 juillet 2024 consid. 1.3; 7B_1002/2023 du 24 mai 2024 consid. 1.1).</w:t>
      </w:r>
    </w:p>
    <w:p>
      <w:r>
        <w:rPr>
          <w:b/>
        </w:rPr>
        <w:t>E. 1.4</w:t>
      </w:r>
    </w:p>
    <w:p>
      <w:r>
        <w:t>Ne mettant pas un terme à la procédure pénale ouverte notamment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Cette condition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7B_420/2024 du 5 août 2024 consid. 1.4; 7B_175/2024 du 11 juillet 2024 consid. 2.1.1). 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(arrêts 7B_420/2024 du 5 août 2024 consid. 1.4; 7B_175/2024 du 11 juillet 2024 consid. 2.1.2).</w:t>
      </w:r>
    </w:p>
    <w:p>
      <w:r>
        <w:rPr>
          <w:b/>
        </w:rPr>
        <w:t>E. 1.5</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7B_175/2024 du 11 juillet 2024 consid. 2.1.3 et l'arrêt cité). Du reste, il incombe, d'une manière générale, à la partie recourante d'alléguer les faits qu'il considère comme propres à fonder sa qualité pour recourir et ceux permettant de démontrer l'existence d'un préjudice irréparable lorsque celui-ci n'est pas d'emblée évident (cf. art. 42 al. 2 LTF ; ATF 148 IV 155 consid. 1.1; arrêt 7B_175/2024 du 11 juillet 2024 consid. 2.1.3 et l'arrêt cité).</w:t>
      </w:r>
    </w:p>
    <w:p>
      <w:r>
        <w:rPr>
          <w:b/>
        </w:rPr>
        <w:t>E. 1.6</w:t>
      </w:r>
    </w:p>
    <w:p>
      <w:r>
        <w:t>En l'espèce, le recourant est le propriétaire des supports informatiques saisis. Il dispose ainsi de la qualité pour recourir (cf. art. 81 al. 1 LTF ). Il invoque également, de manière suffisante au stade de la recevabilité, une atteinte au secret professionnel de l'avocat et du notaire, au secret médical ainsi qu'à sa sphère privée. La condition posée à l' art. 93 al. 1 let. a LTF est ainsi réalisée. Il en va de même des autres conditions de recevabilité. Partant, il y a lieu d'entrer en matière.</w:t>
      </w:r>
    </w:p>
    <w:p>
      <w:r>
        <w:rPr>
          <w:b/>
        </w:rPr>
        <w:t>E. 2</w:t>
      </w:r>
    </w:p>
    <w:p>
      <w:r>
        <w:t>La question de savoir si la pièce 2 produite par le MPC en annexe de ses déterminations sur le recours est recevable ou non peut demeurer indécise, au vu de ce qui suit.</w:t>
      </w:r>
    </w:p>
    <w:p>
      <w:r>
        <w:rPr>
          <w:b/>
        </w:rPr>
        <w:t>E. 3</w:t>
      </w:r>
    </w:p>
    <w:p>
      <w:r>
        <w:t>Le recourant fait en premier lieu valoir que l'affirmation de l'autorité précédente selon laquelle il n'aurait pas discuté l'existence de charges suffisantes serait "déloyale" et "arbitraire", dès lors qu'elle serait contraire à sa "position effectivement prise [...] dans la procédure de levée des scellés". Ce faisant, le recourant ne s'en prend toutefois pas à la seconde partie de la motivation de l'autorité précédente qui a examiné la condition de l'existence de soupçons suffisants, considérant qu'elle était en l'espèce réalisée au regard des éléments figurant dans la demande de levée des scellés déposée par le MPC. Dépourvu de substance, le grief du recourant est par conséquent irrecevable (art. 42 al. 2 et 106 al. 2 LTF; ATF 142 III 364 consid. 2.4; 140 III 86 consid. 2).</w:t>
      </w:r>
    </w:p>
    <w:p>
      <w:r>
        <w:rPr>
          <w:b/>
        </w:rPr>
        <w:t>E. 4.1</w:t>
      </w:r>
    </w:p>
    <w:p>
      <w:r>
        <w:t>Le recourant invoque une constatation arbitraire des faits en lien avec la méthode de tri opéré par le TMC. Il estime en outre avoir fait l'objet d'une recherche indéterminée de preuves ("fishing expedition"). En cela, il allègue une violation du principe de la proportionnalité. Il conteste également l'utilité potentielle des données saisies, issues de ses ordinateurs, et fait grief à l'autorité précédente d'avoir considéré qu'il n'avait pas satisfait à ses obligations en matière de collaboration. Il se prévaut en outre du secret professionnel et d'une atteinte à sa sphère privée pour obtenir le maintien des scellés sur les données qu'il a identifiées dans ses déterminations des 16 février, 15 mars et 18 avril 2024 adressées au TMC, à la suite du tri réalisé par l'expert le 6 avril 2023.</w:t>
      </w:r>
    </w:p>
    <w:p>
      <w:r>
        <w:rPr>
          <w:b/>
        </w:rPr>
        <w:t>E. 4.2</w:t>
      </w:r>
    </w:p>
    <w:p>
      <w:r>
        <w:t>A teneur de l' art. 248 al. 1 1 re phrase CPP, si le détenteur s'oppose au séquestre de certains documents, enregistrements ou autres objets en vertu de l' art. 264 CPP , l'autorité pénale les met sous scellés. 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du 23 juin 2000 sur les avocats et n'a pas le statut de prévenu dans la même affaire (let. d). Lors de son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1B_85/2018 du 3 juillet 2018 consid. 2.1; 1B_3/2018 du 2 juillet 2018 consid. 2.1). Tant le ministère public que le détenteur doivent fournir des explications circonstanciées sur l'éventuelle pertinence, respectivement le défaut d'utilité, des documents placés sous scellés ( ATF 143 IV 462 consid. 2.1; 141 IV 77 consid. 4.3 et 5.6; 138 IV 225 consid. 7.1). Cela étant, les obligations en matière de motivation du détenteur sont d'autant plus importantes que le ministère public n'a pas accès au contenu des pièces (arrêts 7B_420/2024 du 5 août 2024 consid. 3.3.1; 7B_524/2023 du 29 janvier 2024 consid. 3.2.2); cela vaut en particulier lorsque les documents ou données dont la mise sous scellés a été requise sont très nombreux ou très complexes ( ATF 141 IV 77 consid. 4.3 et 5.6; 138 IV 225 consid. 7.1; arrêt 1B_71/2019 du 3 juillet 2019 non publié à l' ATF 145 IV 273 ). Les exigences en matière de motivation et de collaboration ne sont pas différentes ou moindres lorsque le requérant se prévaut d'un autre motif pour obtenir le maintien des scellés. S'agissant en particulier du secret professionnel de l'avocat, le requérant doit démontrer que le mandataire en cause a été consulté dans le cadre d'une activité professionnelle typique (arrêt 7B_158/2023 du 6 août 2024 consid. 3.1 destiné à la publication; ATF 143 IV 462 consid. 2.2 et 2.3).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En revanche, la transmission à titre de simple copie d'un courrier à un avocat ne suffit pas pour considérer que l'écriture en cause serait également protégée ( ATF 143 IV 462 consid. 2.3; arrêt 1B_282/2021 du 23 novembre 2021 consid. 4.2).</w:t>
      </w:r>
    </w:p>
    <w:p>
      <w:r>
        <w:rPr>
          <w:b/>
        </w:rPr>
        <w:t>E. 4.3</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arrêts 7B_420/2024 du 5 août 2024 consid. 3.3.2; 7B_130/2024 du 3 mai 2024 consid. 4.2.3).</w:t>
      </w:r>
    </w:p>
    <w:p>
      <w:r>
        <w:rPr>
          <w:b/>
        </w:rPr>
        <w:t>E. 4.4</w:t>
      </w:r>
    </w:p>
    <w:p>
      <w:r>
        <w:t>S'agissant du grief de violation du principe de la proportionnalité soulevé par le recourant, l'autorité précédente s'est référée à ses précédentes ordonnances, en particulier à son ordonnance du 20 décembre 2022, laquelle n'avait pas été contestée; elle a en outre rappelé qu'au vu de l'infraction reprochée au recourant - constitutive d'un crime selon la loi -, la perquisition des supports informatiques qu'il utilisait n'apparaissait pas disproportionnée, une saisie élargie pouvant au demeurant se justifier lorsque l'instruction portait sur des délits économiques complexes, ce qui était le cas en l'espèce. Sous l'angle de la pertinence, le TMC a constaté qu'au vu des faits reprochés au recourant, tels qu'ils résultaient de la demande de levée des scellés du MPC, de sa fonction et de ses activités au sein de la Banque ainsi que de la facilité de transférer des données d'un support informatique à un autre, notamment par le biais d'un "Cloud", il ne paraissait pas hors de tout propos de faire porter l'enquête sur l'ensemble du matériel informatique utilisé par le recourant, même en dehors du cadre de la banque, en particulier sur ses ordinateurs personnels qui comprenaient sa boîte de messagerie électronique. Il a ajouté que l'analyse des différentes correspondances tenues par le recourant ou adressées à ce dernier n'était pas dénuée de pertinence pour déterminer si celui-ci avait effectivement connaissance des liens qui existaient entre B.________ et E.________ et de la structure mise en place par le premier nommé pour dissimuler le fait qu'il aurait été le destinataire de commissions indues; de telles informations étaient également susceptibles de se trouver dans des échanges intervenus postérieurement à la période pénale et même postérieurement au départ de la banque de l'intéressé, dès lors qu'il n'était pas exclu que des discussions en lien avec les faits sous enquêtes soient intervenues après l'ouverture de l'instruction. Cette appréciation - qui scelle le grief du recourant tiré de l'absence de motivation à ce sujet - doit être suivie. Une instruction en lien avec des infractions de nature patrimoniale ne se limite en effet pas à l'obtention de pièces bancaires relatives à la période pénale retenue, soit en l'espèce de janvier 2000 à mai 2012. Elle peut ainsi nécessiter, sans violation du principe de la proportionnalité, d'examiner d'autres éléments ou données tant antérieurs que postérieurs, en particulier afin de remonter ou de suivre les éventuels flux financiers litigieux, de déterminer les situations financières préalables et ultérieures des différents intervenants (notamment des prévenus), de comprendre leurs motivations eu égard aux virements ou agissements effectués ou d'examiner leurs relations avec d'autres parties (arrêts 1B_48/2021 du 23 juin 2021 consid. 3.3; 1B_350/2013 du 12 décembre 2013 consid. 2.3, dans lequel il a été admis que face à des délits économiques, une saisie élargie peut se justifier, au moins dans un premier temps, sans quoi la recherche de traces documentaires ne serait pas possible). Dans ce contexte et compte tenu des spécificités de la cause, il se justifie de pouvoir procéder de manière large à l'analyse des données issues des ordinateurs portables du recourant, même sans rapport apparent avec son activité professionnelle ou en dehors de la période sous enquête. A ce stade, vu le chef de prévention et le but de la poursuite pénale, l'utilité potentielle des données saisies ne peut donc pas être niée. Cela vaut d'autant plus que les données sous scellés ont été préalablement triées par l'expert mandaté à cet effet, en incluant des termes issus d'une liste de mots-clés exclusifs produits par le recourant. L'autorité précédente a expliqué qu'elle avait exclu les termes trop génériques, notamment "garage", "art" ou "montres", considérant qu'ils n'étaient pas suffisamment précis pour cibler les fichiers couverts par un secret protégé ou strictement privés. Le recourant ne s'en prend pas à cette motivation, respectivement n'indique pas précisément pour quelles raisons ces données spécialement relèveraient de sa sphère strictement privée. Quant aux échanges intervenus en lien avec la situation financière du recourant et/ou avec les investissements qu'il a effectués, ils ne sont en l'état pas d'emblée dénués de pertinence pour l'enquête, dès lors qu'il est prévenu dans une enquête pour blanchiment d'argent aggravé.</w:t>
      </w:r>
    </w:p>
    <w:p>
      <w:r>
        <w:rPr>
          <w:b/>
        </w:rPr>
        <w:t>E. 4.5.1</w:t>
      </w:r>
    </w:p>
    <w:p>
      <w:r>
        <w:t>Pour le reste, le TMC a considéré en substance qu'il découlait du devoir de collaboration de la défense de produire des mots-clés aussi précis et exhaustifs que possible, de manière à identifier les données rattachées à la sphère privée du recourant, respectivement à un secret protégé; il appartenait au recourant d'identifier l'ensemble des données qui demeuraient couvertes par un secret protégé ou qui se rattachaient à sa sphère familiale, en particulier celles concernant sa mère et ses filles ou encore ses différents avocats; en acceptant de procéder par le biais d'un tri selon des mots-clés exclusifs, le recourant avait accepté que la fourniture d'une liste incomplète ou imprécise ne permettrait pas d'expurger des données non couvertes par les mots-clés fournis; le droit de consultation qui lui avait été offert ne devait pas permettre de rechercher de nouveaux motifs de mise sous scellés ou de nouveaux mots-clés, ou encore de compléter sa demande.</w:t>
      </w:r>
    </w:p>
    <w:p>
      <w:r>
        <w:rPr>
          <w:b/>
        </w:rPr>
        <w:t>E. 4.5.2</w:t>
      </w:r>
    </w:p>
    <w:p>
      <w:r>
        <w:t>On rappellera tout d'abord, comme l'a retenu le TMC, que les objets saisis ont été restitués au recourant en 2021 et qu'une copie forensique des données avait déjà été mise à sa disposition pour consultation à compter du 11 juin 2021; il a en outre fourni une liste de mots-clés exclusifs le 30 juin 2022 puis s'est déterminé le 15 août 2022 sur la liste des mots-clés telle qu'elle avait été modifiée par l'autorité précédente, relevant qu'elle pouvait être utilisée pour procéder au tri des données en cause. Cela étant, le recourant ne prétend pas que les éléments invoqués dans ses observations des 16 février, 15 mars et 18 avril 2024 - à l'exception des données dont il sera question ci-après - l'auraient été antérieurement à la mise en oeuvre du tri le 6 avril 2023 ou qu'il n'aurait alors pas été en mesure de soulever certaines critiques (notamment celles émises en lien avec les mots-clés qui n'ont pas été acceptés par le TMC). Cela vaut spécialement en ce qui concerne les données dont il prétend qu'elles relèveraient de sa sphère privée; à ce propos, il n'explique pas pourquoi certains éléments auraient échappé à son attention (en particulier les données en lien avec les "vacances et la situation financière de la famille A.________"). Il se prévaut du volume important des données qui est certes considérable; ce motif ne permet toutefois pas encore d'exclure la possibilité pour le recourant de respecter son devoir de collaboration accru (cf. arrêts 7B_720/2023 du 11 avril 2024 consid. 4.3.3; 1B_282/2021 du 23 novembre 2021 consid. 5.2; cf. également consid. 4.2 supra). Cela vaut d'autant plus que le recourant devait avoir, comme l'a relevé l'autorité précédente, une certaine connaissance du contenu de ces données, dans la mesure où les supports concernés lui appartenaient. Pour le surplus, le recourant ne démontre pas qu'elles seraient manifestement dénuées de pertinence pour les besoins de la cause. Il ne peut à cet égard pas se contenter d'affirmations générales pour exclure les données litigieuses, étant encore relevé que le seul renvoi à une écriture antérieure n'est pas suffisant (cf. ATF 145 V 141 consid. 5.1; 143 IV 122 consid. 3.3; arrêt 7B_524/2023 du 29 janvier 2024 consid. 3.3.1).</w:t>
      </w:r>
    </w:p>
    <w:p>
      <w:r>
        <w:rPr>
          <w:b/>
        </w:rPr>
        <w:t>E. 4.5.3</w:t>
      </w:r>
    </w:p>
    <w:p>
      <w:r>
        <w:t>Il n'en va pas de même de la levée des scellés sur les données contenant les mots-clés énumérés à l'annexe 1 "en raison d'une orthographe légèrement différente (parfois une lettre ou une apostrophe) " ou sur les données ne comportant "pas exactement le mot-clé retenu" mais concernant "le même objet" (cf. ordonnance attaquée, p. 9). Certes, il découlait du devoir de collaboration du recourant de produire des mots-clés aussi précis et exhaustifs que possible de manière à identifier les données rattachées à sa sphère strictement privée. Toutefois, on ne saurait lui reprocher sur ce point une insuffisance de son devoir de collaboration. Il appartenait en effet au TMC de justifier les raisons qui l'ont amené à lever les scellés sur les données qui comprennent les mots-clés qu'il a acceptés et qui sont listés à l'annexe 1, respectivement à lever les scellés sur les données manifestement en lien étroit avec les mots-clés retenus (voir notamment les données concernant les filles du recourant), sachant qu'une orthographe et/ou une casse différentes ne constituent pas, à elles seules, un motif suffisant pour exclure le maintien des scellés sur les données en question (cf. en particulier le prénom de la fille du recourant, orthographié "H.________" qui figure à l'annexe 1 telle qu'approuvée par l'autorité précédente et qui se retrouve dans certaines données triées où le prénom est orthographié "H.________" [cf. notamment les observations du recourant du 16 février 2024]). Quant aux données concernant la mère du recourant, K.________, ainsi que sa tante et ses cousins (la famille I.________), certes, aucun mot-clé y relatif ne figure à l'annexe 1. Cette seule omission ne saurait toutefois prétériter, sans autres explications, le recourant au point de lever les scellés sur ces éléments qui apparaissent manifestement comme faisant partie de sa sphère privée, le seul intérêt à la manifestation de la vérité n'étant pas suffisant compte tenu des données dont il est question (sur le devoir de motivation: ATF 146 II 335 consid. 5.1; 143 III 65 consid. 5.2; cf. également la cause connexe 7B_241/2024, dans laquelle le mot-clé exclusif concernant la mère du recourant a été accepté par le TMC). Il appartiendra à tout le moins au TMC d'exposer les raisons qui permettraient de conduire à une conclusion différente. Il convient dès lors d'admettre le grief du recourant sur ce point, la cause étant renvoyée à l'autorité précédente afin qu'elle reprenne ces éléments et, le cas échéant, expose précisément les motifs justifiant de lever les scellées sur ces données, puis rende une nouvelle décision.</w:t>
      </w:r>
    </w:p>
    <w:p>
      <w:r>
        <w:rPr>
          <w:b/>
        </w:rPr>
        <w:t>E. 4.6</w:t>
      </w:r>
    </w:p>
    <w:p>
      <w:r>
        <w:t>En ce qui concerne ensuite les données prétendument protégées par le secret professionnel de l'avocat ou du notaire, le recourant se réfère à ses déterminations des 16 février, 15 mars et 18 avril 2024, dans lesquelles il cite des échanges avec des avocats ou notaires, dont certains semblent effectivement avoir été consultés pour une problématique entrant dans le champ des activités typiques de la profession (cf. en particulier les données n os 154, 155, 807, 821, 865, 880, 882, 1123, 1124 qui concernent des échanges de courriels avec le notaire M.________ en lien notamment avec l'immeuble sis X.________ à Y.________, propriété également retenue par le TMC dans son annexe 1). Même en admettant que le recourant n'ait pas indiqué le nom des professionnels en question dans le cadre de ses déterminations antérieures au tri, il n'en demeure pas moins que ces données sont a priori protégées par le secret professionnel, étant relevé que l'autorité précédente n'explique pas en quoi elles seraient pertinentes pour l'enquête. Dans ces circonstances, et compte tenu de l'importance du secret professionnel, les scellés doivent être maintenus sur ces éléments. Il appartiendra au TMC de les identifier précisément, en tenant compte des déterminations du recourant des 16 février, 15 mars et 18 avril 2024 et de l'exigence selon laquelle le mandataire en cause doit avoir été consulté dans le cadre d'une activité professionnelle typique. Il en va de même des données pour lesquelles le recourant a fait valoir le secret médical dans ses déterminations postérieures au tri; il appartiendra à l'autorité précédente à tout le moins d'expliquer pourquoi toute mesure de protection devrait être exclue.</w:t>
      </w:r>
    </w:p>
    <w:p>
      <w:r>
        <w:rPr>
          <w:b/>
        </w:rPr>
        <w:t>E. 5</w:t>
      </w:r>
    </w:p>
    <w:p>
      <w:r>
        <w:t>Il s'ensuit que le recours doit être partiellement admis dans la mesure où il est recevable. L'ordonnance attaquée doit être annulée en tant qu'elle ordonne la levée des scellés apposés sur les données qui comprennent les mots-clés (indépendamment de leur orthographe ou de leur[s] caractère[s]) figurant à l'annexe 1 du mandat d'expertise du 6 avril 2023, respectivement sur les données en lien étroit avec ces mots-clés (cf. consid. 4.5.3 supra). La cause sera renvoyée à l'autorité précédente afin qu'elle reprenne ces éléments, et, le cas échéant, expose les motifs justifiant la levée des scellés sur ces données, puis rende une nouvelle décision. L'ordonnance attaquée doit également être annulée en tant qu'elle ordonne la levée des scellés apposés sur les données relevant du secret professionnel. Là encore, la cause sera renvoyée à l'autorité précédente afin qu'elle identifie précisément ces données (cf. consid. 4.6 supra), puis rende une nouvelle décision préservant le secret professionnel. L'autorité précédente rendra également, le cas échéant, une nouvelle décision sur les frais et indemnités. Pour le surplus, le recours doit être rejeté.</w:t>
      </w:r>
    </w:p>
    <w:p>
      <w:r>
        <w:rPr>
          <w:b/>
        </w:rPr>
        <w:t>E. 6</w:t>
      </w:r>
    </w:p>
    <w:p>
      <w:r>
        <w:t>Le recourant obtient gain de cause sur une partie de son recours. Il supportera donc une partie des frais judiciaires ( art. 66 al. 1 LTF ). Il a droit également à une indemnité de dépens à la charge de la Confédération, laquelle sera fixée en tenant compte de l'admission uniquement partielle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