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634/2024 vom 23. Juli 2024</w:t>
      </w:r>
    </w:p>
    <w:p>
      <w:r>
        <w:t>Bundesgericht, 2024-07-23, DE</w:t>
      </w:r>
    </w:p>
    <w:p>
      <w:r>
        <w:rPr>
          <w:b/>
        </w:rPr>
        <w:t xml:space="preserve">Quelle: </w:t>
      </w:r>
      <w:r>
        <w:t>https://mcp.opencaselaw.ch/entscheid/bger_7B_634_2024</w:t>
      </w:r>
    </w:p>
    <w:p>
      <w:r>
        <w:t>FR: TF 7B 634/2024 du 23 juillet 2024</w:t>
      </w:r>
    </w:p>
    <w:p>
      <w:r>
        <w:t>IT: TF 7B 634/2024 del 23 luglio 2024</w:t>
      </w:r>
    </w:p>
    <w:p>
      <w:pPr>
        <w:pStyle w:val="Heading2"/>
      </w:pPr>
      <w:r>
        <w:t>Regeste</w:t>
      </w:r>
    </w:p>
    <w:p>
      <w:r>
        <w:t>Einstellung; Nichteintreten | Strafprozess</w:t>
      </w:r>
    </w:p>
    <w:p>
      <w:pPr>
        <w:pStyle w:val="Heading2"/>
      </w:pPr>
      <w:r>
        <w:t>Erwägungen</w:t>
      </w:r>
    </w:p>
    <w:p>
      <w:r>
        <w:rPr>
          <w:b/>
        </w:rPr>
        <w:t>E. 1</w:t>
      </w:r>
    </w:p>
    <w:p>
      <w:r>
        <w:t>B.________ und A.________ (fortan: die Beschwerdeführer) erstatteten am 8. Dezember 2021 Strafanzeige/Strafantrag gegen Rechtsanwältin Dr. C.________ wegen Verletzung des Berufsgeheimnisses. Deren Schlichtungsgesuch vom 17. August 2021 an das Vermittleramt Höfe betreffend eine Honorarforderung gegen A.________ soll Unterlagen und "ausführliche Fallbeschreibungen und strategische Überlegungen zu Vorfällen, Ereignissen, Wahrnehmungen und Handlungen" enthalten, die dem Berufsgeheimnis unterliegen würden. Die Staatsanwaltschaft des Kantons Schwyz stellte das Strafverfahren schliesslich mit Verfügung vom 1. Dezember 2023 ein und nahm gegen die Beschuldigte auch im Zusammenhang der weiteren Strafanzeige vom 27. September 2023 betreffend Verletzung des Berufsgeheimnisses kein Verfahren an die Hand. Gegen die Einstellungsverfügung erhoben die Beschwerdeführer Beschwerde beim Kantonsgericht Schwyz, wobei sie deren vollumfängliche Aufhebung, die Weiterführung des Strafverfahrens und die Aufhebung der Kostenauflage sowie der Nichtanhandnahmeerklärung beantragten. Mit Beschluss vom 24. April 2024 trat das Kantonsgericht auf die Beschwerde nicht ein, eventualiter wies es sie ab.</w:t>
      </w:r>
    </w:p>
    <w:p>
      <w:r>
        <w:rPr>
          <w:b/>
        </w:rPr>
        <w:t>E. 2</w:t>
      </w:r>
    </w:p>
    <w:p>
      <w:r>
        <w:t>Die Beschwerdeführer gelangen ans Bundesgericht und beantragen im Wesentlichen die Aufhebung des angefochtenen Beschlusses des Kantonsgerichts sowie die Wiederaufnahme und Weiterführung des Strafverfahrens.</w:t>
      </w:r>
    </w:p>
    <w:p>
      <w:r>
        <w:rPr>
          <w:b/>
        </w:rPr>
        <w:t>E. 3.1</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Richtet sich die Beschwerde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3.2</w:t>
      </w:r>
    </w:p>
    <w:p>
      <w:r>
        <w:t>Die Beschwerdeführer äusseren sich nicht zu ihrer Legitimation als Privatkläger im Sinne von Art. 81 Abs. 1 lit. b Ziff. 5 BGG und zur Frage der Zivilforderung. So legen sie nicht dar, aus welchen Gründen und inwiefern sich der angefochtene Beschluss auf welchen konkreten Zivilanspruch auswirken sollte. Auch ist nicht erkennbar, dass die zur Anzeige gebrachte angebliche Berufsgeheimnisverletzung unmittelbar zu einer so starken Beeinträchtigung der körperlichen, psychischen oder sexuellen Integrität der Beschwerdeführer geführt hätte, dass sich daraus ohne Weiteres ein Anspruch auf Schadenersatz oder Genugtuung ergäbe (vgl. Urteil 7B_18/2024 vom 14. März 2024 E. 2). Damit kommen die Beschwerdeführer den Begründungsanforderungen offensichtlich nicht nach.</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erheben die Beschwerdeführer keine.</w:t>
      </w:r>
    </w:p>
    <w:p>
      <w:r>
        <w:rPr>
          <w:b/>
        </w:rPr>
        <w:t>E. 4</w:t>
      </w:r>
    </w:p>
    <w:p>
      <w:r>
        <w:t>Auf die Beschwerde ist im Verfahren nach Art. 108 BGG nicht einzutreten. Ausgangsgemäss werden die Beschwerdeführer kostenpflichtig ( Art. 66 Abs. 1 BGG ). Sie haften für die Gerichtskosten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