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7B_634/2023 vom 20. September 2023</w:t>
      </w:r>
    </w:p>
    <w:p>
      <w:r>
        <w:t>Bundesgericht, 2023-09-20, FR</w:t>
      </w:r>
    </w:p>
    <w:p>
      <w:r>
        <w:rPr>
          <w:b/>
        </w:rPr>
        <w:t xml:space="preserve">Quelle: </w:t>
      </w:r>
      <w:r>
        <w:t>https://mcp.opencaselaw.ch/entscheid/bger_7B_634_2023</w:t>
      </w:r>
    </w:p>
    <w:p>
      <w:r>
        <w:t>FR: TF 7B_634/2023 du 20 septembre 2023</w:t>
      </w:r>
    </w:p>
    <w:p>
      <w:r>
        <w:t>IT: TF 7B_634/2023 del 20 settembre 2023</w:t>
      </w:r>
    </w:p>
    <w:p>
      <w:pPr>
        <w:pStyle w:val="Heading2"/>
      </w:pPr>
      <w:r>
        <w:t>Erwägungen</w:t>
      </w:r>
    </w:p>
    <w:p>
      <w:r>
        <w:rPr>
          <w:b/>
        </w:rPr>
        <w:t>E. 1.1</w:t>
      </w:r>
    </w:p>
    <w:p>
      <w:r>
        <w:t>En matière de détention provisoire, le recours en matière pénale doit être déposé devant le Tribunal fédéral dans les 30 jours qui suivent la notification de l'expédition complète de la décision attaquée sans tenir compte des féries judiciaires (art. 46 al. 2 et 100 al. 1 LTF; ATF 133 I 270 consid. 1.2.2). L'exigence de célérité de la procédure ne se concilie en effet pas avec la suspension des délais de recours (arrêt 1B_52/2023 du 26 janvier 2023 consid. 2 et la réf. citée).</w:t>
      </w:r>
    </w:p>
    <w:p>
      <w:r>
        <w:t>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1.2</w:t>
      </w:r>
    </w:p>
    <w:p>
      <w:r>
        <w:t>En l'espèce, le conseil du recourant a retiré l'exemplaire de l'arrêt attaqué en date du 27 juillet 2023. Le délai de recours contre cet arrêt est ainsi arrivé à échéance le 28 août 2023. Déposé le 14 septembre 2023, en tenant compte à tort de la suspension des délais de recours du 15 juillet au 15 août 2023 (cf. art. 46 al. 1 let. b LTF ), le recours est dès lors manifestement tardif.</w:t>
      </w:r>
    </w:p>
    <w:p>
      <w:r>
        <w:rPr>
          <w:b/>
        </w:rPr>
        <w:t>E. 2</w:t>
      </w:r>
    </w:p>
    <w:p>
      <w:r>
        <w:t>Au vu de ce qui précède, l'irrecevabilité manifeste du recours doit être constatée dans la procédure prévue par l' art. 108 al. 1 let. a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Le recourant, qui succombe, supportera les frais judiciaires, qui seront fixés en tenant compte de sa situation financière n'apparaissant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