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7B_633/2025 vom 17. Oktober 2025</w:t>
      </w:r>
    </w:p>
    <w:p>
      <w:r>
        <w:t>Bundesgericht, 2025-10-17, FR</w:t>
      </w:r>
    </w:p>
    <w:p>
      <w:r>
        <w:rPr>
          <w:b/>
        </w:rPr>
        <w:t xml:space="preserve">Quelle: </w:t>
      </w:r>
      <w:r>
        <w:t>https://mcp.opencaselaw.ch/entscheid/bger_7B_633_2025</w:t>
      </w:r>
    </w:p>
    <w:p>
      <w:r>
        <w:t>FR: TF 7B_633/2025 du 17 octobre 2025</w:t>
      </w:r>
    </w:p>
    <w:p>
      <w:r>
        <w:t>IT: TF 7B_633/2025 del 17 ottobre 2025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 7B_1040/2024 du 29 novembre 2024 consid. 1.1.3 et les références).</w:t>
      </w:r>
    </w:p>
    <w:p>
      <w:r>
        <w:rPr>
          <w:b/>
        </w:rPr>
        <w:t>E. 1.2</w:t>
      </w:r>
    </w:p>
    <w:p>
      <w:r>
        <w:t>En l'espèce, la recourante - qui se borne à articuler des arguments de fond - ne dit mot sur les prétentions civiles qu'elle pourrait faire valoir envers la personne contre laquelle elle a déposé plainte pénale pour diffamation. De telles prétentions ne peuvent en outre pas être déduites sans ambiguïté de la nature de l'infraction alléguée.</w:t>
      </w:r>
    </w:p>
    <w:p>
      <w:r>
        <w:t>La recourante ne démontre par conséquent pas avoir la qualité pour recourir sur le fond en application de l'art. 81 al. 1 let. a et b ch. 5 LTF.</w:t>
      </w:r>
    </w:p>
    <w:p>
      <w:r>
        <w:rPr>
          <w:b/>
        </w:rPr>
        <w:t>E. 1.3</w:t>
      </w:r>
    </w:p>
    <w:p>
      <w:r>
        <w:t>La recourante conteste la tardiveté de sa plainte pénale telle que retenue dans l'ordonnance de non-entrée en matière du 28 mai 2019 (cf. let. A.a</w:t>
      </w:r>
    </w:p>
    <w:p>
      <w:r>
        <w:t>supra ), sans toutefois démontrer, d'une manière qui respecte les exigences de motivation d'un recours en matière pénale ( art. 42 al. 2 LTF ; cf. ordonnance 7B_502/2025 du 8 septembre 2025 consid. 1.1 concernant la recourante), en quoi le raisonnement de la cour cantonale selon lequel ladite ordonnance était définitive (cf. arrêt attaqué, consid. 1.2.2) serait erroné. La recourante ne soulève au surplus aucun grief recevable quant à son droit de porter plainte au sens de l'art. 81 al. 1 let. b ch. 6 LTF.</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consid.1.1).</w:t>
      </w:r>
    </w:p>
    <w:p>
      <w:r>
        <w:t>Tout d'abord, la recourante soutient que l'autorité précédente aurait considéré à tort son écriture du 11 avril 2025 comme un complément de recours, puisqu'il s'agirait plutôt d'"observations spontanées". Par son argumentation, elle ne démontre toutefois pas en quoi cette autorité aurait procédé de manière arbitraire dans la constatation des faits sur ce point. Elle admet d'ailleurs elle-même que ses "observations" apportaient des "preuves supplémentaires à l'appui des points déjà soulevés (...) dans son recours du 16 janvier 2025". Il n'était donc pas insoutenable de considérer cette écriture comme un complément de recours.</w:t>
      </w:r>
    </w:p>
    <w:p>
      <w:r>
        <w:t>Ensuite, si la recourante invoque un "déni du droit (...) à un procès équitable", c'est uniquement en relation avec l'ordonnance de non-entrée en matière du 28 mai 2019, ce qu'elle n'est pas recevable à faire, compte tenu du caractère définitif de cette ordonnance (cf. consid. 1.3</w:t>
      </w:r>
    </w:p>
    <w:p>
      <w:r>
        <w:t>supra ).</w:t>
      </w:r>
    </w:p>
    <w:p>
      <w:r>
        <w:t>Pour le reste, invoquant en particulier la violation de l'arbitraire ( art. 9 Cst. ) et de l'égalité ( art. 8 Cst. ), la recourante reproche à l'autorité précédente et au Ministère public d'avoir refusé d'entrer en matière sur sa plainte pénale; or par ses développements, elle ne fait valoir aucun moyen qui puisse être séparé du fond, de sorte que la qualité pour recourir doit également lui être déniée à cet égard.</w:t>
      </w:r>
    </w:p>
    <w:p>
      <w:r>
        <w:rPr>
          <w:b/>
        </w:rPr>
        <w:t>E. 2</w:t>
      </w:r>
    </w:p>
    <w:p>
      <w:r>
        <w:t>L'irrecevabilité manifeste du recours doit être constatée dans la procédure simplifiée prévue à l' art. 108 al. 1 let. a et b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