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7B_633/2024 vom 14. Juni 2024</w:t>
      </w:r>
    </w:p>
    <w:p>
      <w:r>
        <w:t>Bundesgericht, 2024-06-14, DE</w:t>
      </w:r>
    </w:p>
    <w:p>
      <w:r>
        <w:rPr>
          <w:b/>
        </w:rPr>
        <w:t xml:space="preserve">Quelle: </w:t>
      </w:r>
      <w:r>
        <w:t>https://mcp.opencaselaw.ch/entscheid/bger_7B_633_2024</w:t>
      </w:r>
    </w:p>
    <w:p>
      <w:r>
        <w:t>FR: TF 7B_633/2024 du 14 juin 2024</w:t>
      </w:r>
    </w:p>
    <w:p>
      <w:r>
        <w:t>IT: TF 7B_633/2024 del 14 giugno 2024</w:t>
      </w:r>
    </w:p>
    <w:p>
      <w:pPr>
        <w:pStyle w:val="Heading2"/>
      </w:pPr>
      <w:r>
        <w:t>Erwägungen</w:t>
      </w:r>
    </w:p>
    <w:p>
      <w:r>
        <w:rPr>
          <w:b/>
        </w:rPr>
        <w:t>E. 1</w:t>
      </w:r>
    </w:p>
    <w:p>
      <w:r>
        <w:t>Mit Verfügung vom 27. Februar 2024 nahm die Staatsanwaltschaft Abteilung 1 Luzern eine von A.________ gegen den Direktor der Versicherung B.________ wegen Rassendiskriminierung angestrengte Strafuntersuchung nicht anhand. Auf die hiergegen von A.________ erhobene Beschwerde trat das Kantonsgericht Luzern am 11. April 2024 nicht ein.</w:t>
      </w:r>
    </w:p>
    <w:p>
      <w:r>
        <w:rPr>
          <w:b/>
        </w:rPr>
        <w:t>E. 2</w:t>
      </w:r>
    </w:p>
    <w:p>
      <w:r>
        <w:t>Der Beschwerdeführer gelangt mit vom 20. Mai 2024 datierter Eingabe ans Bundesgericht und beantragt sinngemäss die Aufhebung des vorinstanzlichen Entscheids.</w:t>
      </w:r>
    </w:p>
    <w:p>
      <w:r>
        <w:rPr>
          <w:b/>
        </w:rPr>
        <w:t>E. 3</w:t>
      </w:r>
    </w:p>
    <w:p>
      <w:r>
        <w:t>Rechtsschriften an das Bundesgericht sind in einer Amtssprache abzufassen ( Art. 42 Abs. 1 BGG ). Das bundesgerichtliche 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w:t>
      </w:r>
    </w:p>
    <w:p>
      <w:r>
        <w:t>Soweit der Beschwerdeführer in seiner in französischer Sprache abgefassten Beschwerde um eine "Antwort" in spanischer Sprache ersucht, ist darauf nicht einzutreten.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Die Vorinstanz erwägt, Gegenstand der angefochtenen Verfügung sei einzig der strafrechtliche Vorwurf der angeblich vom Beschuldigten begangenen Rassendiskriminierung zum Nachteil des Beschwerdeführers. Soweit sich dieser zur Verwaltungssache im Zusammenhang mit seinem Arbeitsunfall äussere sowie diesbezüglich Schadenersatz und Zinsen verlange, sei darauf im vorliegenden Beschwerdeverfahren infolge fehlender Zuständigkeit nicht einzutreten. Darüber hinaus setze sich der Beschwerdeführer in keiner Weise mit dem Inhalt der angefochtenen Verfügung auseinander. Insbesondere werde nicht begründet, inwiefern diese falsch bzw. die Erwägungen der Staatsanwaltschaft unzutreffend sein sollten. Die Ausführungen des Beschwerdeführers würden sich als untauglich erweisen und den Begründungsanforderungen von Art. 385 Abs. 1 StPO offensichtlich nicht zu genügen vermögen.</w:t>
      </w:r>
    </w:p>
    <w:p>
      <w:r>
        <w:t>Der Beschwerdeführer setzt sich mit diesen Ausführungen der Vorinstanz nicht auseinander. Dass und inwiefern die Vorinstanz bei ihren tatsächlichen Feststellungen in Willkür verfallen wäre und/oder beim von ihr festgestellten Sachverhalt gegen das Recht verstossen hätte, legt der Beschwerdeführer nicht dar und ist auch nicht ersichtlich. Damit kommt er den Begründungsanforderungen vor Bundesgericht nicht nach. Der Begründungsmangel ist offensichtlich ( Art. 42 Abs. 2, Art. 106 Abs. 2 BGG ).</w:t>
      </w:r>
    </w:p>
    <w:p>
      <w:r>
        <w:rPr>
          <w:b/>
        </w:rPr>
        <w:t>E. 6</w:t>
      </w:r>
    </w:p>
    <w:p>
      <w:r>
        <w:t>Auf die Beschwerde ist im Verfahren nach Art. 108 BGG nicht einzutreten.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