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7B_632/2023 vom 30. Oktober 2023</w:t>
      </w:r>
    </w:p>
    <w:p>
      <w:r>
        <w:t>Bundesgericht, 2023-10-30, DE</w:t>
      </w:r>
    </w:p>
    <w:p>
      <w:r>
        <w:rPr>
          <w:b/>
        </w:rPr>
        <w:t xml:space="preserve">Quelle: </w:t>
      </w:r>
      <w:r>
        <w:t>https://mcp.opencaselaw.ch/entscheid/bger_7B_632_2023</w:t>
      </w:r>
    </w:p>
    <w:p>
      <w:r>
        <w:t>FR: TF 7B_632/2023 du 30 octobre 2023</w:t>
      </w:r>
    </w:p>
    <w:p>
      <w:r>
        <w:t>IT: TF 7B_632/2023 del 30 ottobre 2023</w:t>
      </w:r>
    </w:p>
    <w:p>
      <w:pPr>
        <w:pStyle w:val="Heading2"/>
      </w:pPr>
      <w:r>
        <w:t>Erwägungen</w:t>
      </w:r>
    </w:p>
    <w:p>
      <w:r>
        <w:rPr>
          <w:b/>
        </w:rPr>
        <w:t>E. 1</w:t>
      </w:r>
    </w:p>
    <w:p>
      <w:r>
        <w:t>A.________ erhob am 14. September 2023 Beschwerde in Strafsachen an das Bundesgericht gegen den Beschluss des Obergerichts des Kantons Zürich vom 11. Juli 2023 in Sachen Nichtanhandnahme einer Strafuntersuchung gegen B.________ u.a. wegen Erschleichung einer falschen Beurkundung. Mit Eingabe vom 11. Oktober 2023 teilt er dem Bundesgericht mit, er ziehe seine Beschwerde vom 14. September 2023 zurück.</w:t>
      </w:r>
    </w:p>
    <w:p>
      <w:r>
        <w:t>Bei dieser Sachlage ist das bundesgerichtliche Beschwerdeverfahren als durch Beschwerderückzug erledigt abzuschreiben ( Art. 32 Abs. 2 BGG ). Es werden keine Gerichtskosten erhoben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