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7B_629/2023 vom 25. Oktober 2023</w:t>
      </w:r>
    </w:p>
    <w:p>
      <w:r>
        <w:t>Bundesgericht, 2023-10-25, DE</w:t>
      </w:r>
    </w:p>
    <w:p>
      <w:r>
        <w:rPr>
          <w:b/>
        </w:rPr>
        <w:t xml:space="preserve">Quelle: </w:t>
      </w:r>
      <w:r>
        <w:t>https://mcp.opencaselaw.ch/entscheid/bger_7B_629_2023</w:t>
      </w:r>
    </w:p>
    <w:p>
      <w:r>
        <w:t>FR: TF 7B_629/2023 du 25 octobre 2023</w:t>
      </w:r>
    </w:p>
    <w:p>
      <w:r>
        <w:t>IT: TF 7B_629/2023 del 25 ottobre 2023</w:t>
      </w:r>
    </w:p>
    <w:p>
      <w:pPr>
        <w:pStyle w:val="Heading2"/>
      </w:pPr>
      <w:r>
        <w:t>Erwägungen</w:t>
      </w:r>
    </w:p>
    <w:p>
      <w:r>
        <w:rPr>
          <w:b/>
        </w:rPr>
        <w:t>E. 1</w:t>
      </w:r>
    </w:p>
    <w:p>
      <w:r>
        <w:t>Mit der angefochtenen Verfügung hat die Vorinstanz als letzte kantonale Instanz über die Strafvollzugsmodalitäten entschieden. Es handelt sich somit um einen Entscheid über den Vollzug von Strafen und Massnahmen im Sinne von Art. 78 Abs. 2 lit. b BGG , welcher der Beschwerde in Strafsachen unterliegt.</w:t>
      </w:r>
    </w:p>
    <w:p>
      <w:r>
        <w:rPr>
          <w:b/>
        </w:rPr>
        <w:t>E. 1.1</w:t>
      </w:r>
    </w:p>
    <w:p>
      <w:r>
        <w:t>Gemäss Art. 81 Abs. 1 BGG ist zur Beschwerde in Strafsachen berechtigt, wer (lit. a) vor der Vorinstanz am Verfahren teilgenommen oder keine Möglichkeit zur Teilnahme erhalten hat und (lit. b) ein rechtlich geschütztes Interesse an der Aufhebung oder Änderung des angefochtenen Entscheids hat. Vorausgesetzt wird ein aktuelles und praktisches Interesse an der Behandlung der Beschwerde ( BGE 142 I 135 E. 1.3.1; 140 IV 74 E. 1.3.1; je mit Hinweisen). Dieses Erfordernis stellt sicher, dass dem Bundesgericht konkrete und nicht bloss theoretische Fragen zum Entscheid vorgelegt werden ( BGE 140 IV 74 E. 1.3.1 ; 136 I 274 E. 1.3 mit Hinweisen). Fehlt das schutzwürdige Interesse schon bei der Beschwerdeeinreichung, ist auf die Eingabe nicht einzutreten ( BGE 142 I 135 E. 1.3.1 ; 139 I 206 E. 1.1; je mit Hinweis[en]).</w:t>
      </w:r>
    </w:p>
    <w:p>
      <w:r>
        <w:t>Das Bundesgericht sieht indessen ausnahmsweise vom Erfordernis eines aktuellen Rechtsschutzinteresses ab,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 BGE 147 I 478 E. 2.2; 146 II 335 E. 1.3 ; 142 I 135 E. 1.3.1; 140 IV 74 E. 1.3.3 ; 139 I 206 E. 1.1; je mit Hinweisen). Die genannten Voraussetzungen müssen kumulativ erfüllt sein (Urteil 6B_1188/2022 vom 7. Dezember 2022 E. 4 mit Hinweis). Die Ausnahme, wonach auf das Erfordernis eines aktuellen Interesses verzichtet werden kann, ist restriktiv anzuwenden und es obliegt der beschwerdeführenden Person, darzulegen, dass die Voraussetzungen hierfür gegeben sind ( Art. 42 Abs. 2 BGG ; Urteile 1B_170/2022 vom 19. Juli 2022 E. 1.2.1; 6B_16/2021 vom 22. Februar 2021 E. 1.2; je mit Hinweisen).</w:t>
      </w:r>
    </w:p>
    <w:p>
      <w:r>
        <w:rPr>
          <w:b/>
        </w:rPr>
        <w:t>E. 1.2</w:t>
      </w:r>
    </w:p>
    <w:p>
      <w:r>
        <w:t>Unbestrittenermassen verfügt der Beschwerdeführer nicht über ein aktuelles Rechtsschutzinteresse.</w:t>
      </w:r>
    </w:p>
    <w:p>
      <w:r>
        <w:rPr>
          <w:b/>
        </w:rPr>
        <w:t>E. 1.2.1</w:t>
      </w:r>
    </w:p>
    <w:p>
      <w:r>
        <w:t>Der Beschwerdeführer führt zu seiner Legitimation aus, die ursprünglichen umstrittenen Verfügungen hätten sich bereits mehrfach überholt, sodass erstellt sei, dass eine rechtzeitige Überprüfung der Rechtmässigkeit der Versetzungen in die Sicherheitsabteilung B der JVA U.________ bzw. in die Sicherheitsabteilung SITRAK I der JVA V.________ nicht möglich sei. Auf die Beschwerde sei deshalb einzutreten, auch wenn er seither wieder verlegt worden sei. Zurzeit befinde er sich in der Sicherheitsabteilung II der JVA V.________.</w:t>
      </w:r>
    </w:p>
    <w:p>
      <w:r>
        <w:rPr>
          <w:b/>
        </w:rPr>
        <w:t>E. 1.2.2</w:t>
      </w:r>
    </w:p>
    <w:p>
      <w:r>
        <w:t>Mit diesen Ausführungen kommt der Beschwerdeführer den Vorgaben von Art. 42 Abs. 2 BGG nicht nach, ist damit doch weder dargetan, inwiefern sich die streitigen Fragen unter gleichen oder ähnlichen Umständen wieder stellen könnten, noch, weshalb an deren Beantwortung aufgrund ihrer grundsätzlichen Bedeutung ein hinreichendes öffentliches Interesse bestehen soll.</w:t>
      </w:r>
    </w:p>
    <w:p>
      <w:r>
        <w:rPr>
          <w:b/>
        </w:rPr>
        <w:t>E. 1.3.1</w:t>
      </w:r>
    </w:p>
    <w:p>
      <w:r>
        <w:t>Trotz Wegfalls eines aktuellen Interesses tritt das Bundesgericht unter besonderen Umständen, insbesondere bei inhaftierten (bzw. zwischenzeitlich freigelassenen) Personen, auf die Beschwerde ein, wenn in vertretbarer Weise eine offensichtliche Verletzung der EMRK gerügt wird (vgl. BGE 142 I 135 E. 1.3.1 ; 137 I 296 E. 4.3.1; Urteile 1B_438/2022 vom 2. März 2023 E. 1.1.1; 1B_170/2022 vom 19. Juli 2022 E. 1.2.1; 6B_514/2022 vom 4. Juli 2022 E. 1.3.2; je mit Hinweisen). An eine solche Rüge werden nach Art. 106 Abs. 2 BGG erhöhte Begründungsanforderungen gestellt.</w:t>
      </w:r>
    </w:p>
    <w:p>
      <w:r>
        <w:rPr>
          <w:b/>
        </w:rPr>
        <w:t>E. 1.3.2</w:t>
      </w:r>
    </w:p>
    <w:p>
      <w:r>
        <w:t>Der Beschwerdeführer bringt vor, der Kleingruppenvollzug sei aufgrund der damit einhergehenden zusätzlichen Einschränkungen "belastend wie eine Strafe", er sei vom Leiter der Sicherheitsabteilung schikaniert und immer wieder von anderen Mitinsassen angegriffen worden und die Sicherheitshaft belaste seine Familie, namentlich seine kleine Tochter. Eigentliche Grundrechtsverletzungen macht er aber nirgends geltend und schon gar nicht begründet er solche in substanziierter Weise. Folglich scheidet ein Eintreten auf die Beschwerde auch unter diesem Titel aus.</w:t>
      </w:r>
    </w:p>
    <w:p>
      <w:r>
        <w:rPr>
          <w:b/>
        </w:rPr>
        <w:t>E. 1.4</w:t>
      </w:r>
    </w:p>
    <w:p>
      <w:r>
        <w:t>Schliesslich kann eine Partei ungeachtet der Legitimation in der Sache die Verletzung ihrer 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(sog. "Star-Praxis"; BGE 146 IV 76 E. 2; 141 IV 1 E. 1.1; 138 IV 78 E. 1.3; je mit Hinweisen). Derartige Rügen erhebt der Beschwerdeführer ebenfalls keine.</w:t>
      </w:r>
    </w:p>
    <w:p>
      <w:r>
        <w:rPr>
          <w:b/>
        </w:rPr>
        <w:t>E. 2</w:t>
      </w:r>
    </w:p>
    <w:p>
      <w:r>
        <w:t>Auf die Beschwerde ist nicht einzutreten. Dem Verfahrensausgang entsprechend wird der Beschwerdeführer kostenpflichtig ( Art. 66 Abs. 1 BGG ). Seine Beschwerde ist als aussichtslos zu bezeichnen und das Gesuch um unentgeltliche Rechtspflege entsprechend abzuweisen ( Art. 64 Abs. 1 BGG ). Der nachgewiesenen finanziellen Bedürftigkeit des Beschwerdeführers wird mit reduzierten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