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7B_627/2025 vom 20. August 2025</w:t>
      </w:r>
    </w:p>
    <w:p>
      <w:r>
        <w:t>Bundesgericht, 2025-08-20, DE</w:t>
      </w:r>
    </w:p>
    <w:p>
      <w:r>
        <w:rPr>
          <w:b/>
        </w:rPr>
        <w:t xml:space="preserve">Quelle: </w:t>
      </w:r>
      <w:r>
        <w:t>https://mcp.opencaselaw.ch/entscheid/bger_7B_627_2025</w:t>
      </w:r>
    </w:p>
    <w:p>
      <w:r>
        <w:t>FR: TF 7B_627/2025 du 20 août 2025</w:t>
      </w:r>
    </w:p>
    <w:p>
      <w:r>
        <w:t>IT: TF 7B_627/2025 del 20 agosto 2025</w:t>
      </w:r>
    </w:p>
    <w:p>
      <w:pPr>
        <w:pStyle w:val="Heading2"/>
      </w:pPr>
      <w:r>
        <w:t>Erwägungen</w:t>
      </w:r>
    </w:p>
    <w:p>
      <w:r>
        <w:rPr>
          <w:b/>
        </w:rPr>
        <w:t>E. 1</w:t>
      </w:r>
    </w:p>
    <w:p>
      <w:r>
        <w:t>Mit Verfügung vom 4. Juni 2025 trat das Obergericht des Kantons Solothurn auf die Beschwerde des Beschwerdeführers gegen die Nichtanhandnahmeverfügung der Staatsanwaltschaft Solothurn vom 24. April 2025 nicht ein. Der Beschwerdeführer gelangt dagegen mit Beschwerde in Strafsachen an das Bundesgericht.</w:t>
      </w:r>
    </w:p>
    <w:p>
      <w:r>
        <w:rPr>
          <w:b/>
        </w:rPr>
        <w:t>E. 2</w:t>
      </w:r>
    </w:p>
    <w:p>
      <w:r>
        <w:t>Die Eingabe des Beschwerdeführers erfüllt die Begründungsanforderungen, die an eine Beschwerde an das Bundesgericht gestellt werden, offensichtlich nicht ( Art. 42 Abs. 2 und Art. 106 Abs. 2 BGG ; BGE 148 IV 356 E. 2.1, 39 E. 2.3.5; 142 III 364 E. 2.4). So setzt er sich nicht rechtsgenüglich mit den Ausführungen der Vorinstanz auseinander. Insbesondere zeigt er nicht nachvollziehbar auf, inwiefern die Vorinstanz bei ihren tatsächlichen Feststellungen in Willkür verfallen wäre und/oder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implizite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