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7B_624/2025 vom 16. Februar 2026</w:t>
      </w:r>
    </w:p>
    <w:p>
      <w:r>
        <w:t>Bundesgericht, 2026-02-16, DE</w:t>
      </w:r>
    </w:p>
    <w:p>
      <w:r>
        <w:rPr>
          <w:b/>
        </w:rPr>
        <w:t xml:space="preserve">Quelle: </w:t>
      </w:r>
      <w:r>
        <w:t>https://mcp.opencaselaw.ch/entscheid/bger_7B_624_2025</w:t>
      </w:r>
    </w:p>
    <w:p>
      <w:r>
        <w:t>FR: TF 7B_624/2025 du 16 février 2026</w:t>
      </w:r>
    </w:p>
    <w:p>
      <w:r>
        <w:t>IT: TF 7B_624/2025 del 16 febbraio 2026</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150 IV 103 E. 1 mit Hinweis).</w:t>
      </w:r>
    </w:p>
    <w:p>
      <w:r>
        <w:rPr>
          <w:b/>
        </w:rPr>
        <w:t>E. 1.2</w:t>
      </w:r>
    </w:p>
    <w:p>
      <w:r>
        <w:t>Angefochten ist ein nach Art. 248a StPO kantonal letztinstanzlicher Entscheid eines Zwangsmassnahmengerichts. Dagegen steht gemäss Art. 80 Abs. 2 Satz 3 BGG die Beschwerde in Strafsachen an das Bundesgericht nach Art. 78 ff. BGG grundsätzlich offen.</w:t>
      </w:r>
    </w:p>
    <w:p>
      <w:r>
        <w:rPr>
          <w:b/>
        </w:rPr>
        <w:t>E. 1.3</w:t>
      </w:r>
    </w:p>
    <w:p>
      <w:r>
        <w:t>Entgegen der Auffassung des anwaltlich vertretenen Beschwerdeführers handelt es sich vorliegend nicht um einen Endentscheid, sondern um einen Zwischenentscheid. 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mit Hinweisen). Woraus sich der nicht wieder gutzumachende Nachteil ergeben soll, ist in der Beschwerdeschrift darzulegen, sofern es nicht offensichtlich ist ( BGE 150 III 248 E. 1.2 mit Hinweisen).</w:t>
      </w:r>
    </w:p>
    <w:p>
      <w:r>
        <w:rPr>
          <w:b/>
        </w:rPr>
        <w:t>E. 1.4</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(Urteil 7B_145/2025 vom 25. März 2025 E. 2.2, zur Publikation vorgesehen, mit Hinweisen). Werden dagegen (lediglich) andere Beschlagnahmehindernisse wie insbesondere ein nicht hinreichender Tatverdacht oder ein mangelnder Deliktskonnex geltend gemacht, fehlt es grundsätzlich am nicht wieder gutzumachenden Nachteil (vgl. Urteil 7B_1357/2025 vom 20. Januar 2026 E. 1.4 mit Hinweis).</w:t>
      </w:r>
    </w:p>
    <w:p>
      <w:r>
        <w:rPr>
          <w:b/>
        </w:rPr>
        <w:t>E. 2.1</w:t>
      </w:r>
    </w:p>
    <w:p>
      <w:r>
        <w:t>Der anwaltlich vertretene Beschwerdeführer, der davon ausgeht, dass es sich beim angefochtenen Beschluss um einen das Strafverfahren abschliessenden Endentscheid handelt, was nach dem Ausgeführten nicht zutrifft, äussert sich nicht zu den Eintretensvoraussetzungen gemäss Art. 93 Abs. 1 lit. a BGG . Er führt insbesondere nicht aus, inwiefern ihm durch den angefochtenen Entscheid ein nicht wieder gutzumachender Nachteil rechtlicher Natur entstehen könnte und ruft auch keine gesetzlichen Geheimnisschutzgründe an. Er macht einzig geltend, er habe vor der Vorinstanz am Verfahren teilgenommen und habe ein rechtlich geschütztes Interesse an der Aufhebung des angefochtenen Entscheids.</w:t>
      </w:r>
    </w:p>
    <w:p>
      <w:r>
        <w:rPr>
          <w:b/>
        </w:rPr>
        <w:t>E. 2.2</w:t>
      </w:r>
    </w:p>
    <w:p>
      <w:r>
        <w:t>Dieser Auffassung kann nicht gefolgt werden. Zwar ist rechtsprechungsgemäss ohne Weiteres davon auszugehen, dass bei der (vollständigen) Durchsuchung von privat genutzten Smartphones persönliche Aufzeichnungen und Korrespondenz im Sinne von Art. 264 Abs. 1 lit. b StPO tangiert sind; persönliche Aufzeichnungen und Korrespondenz der beschuldigten Person sind aber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darlegt oder ohne Weiteres erkennbar ist, dass das Interesse am Schutz ihrer Persönlichkeit gegenüber dem Strafverfolgungsinteresse überwiegen könnte (Urteil 7B_145/2025 vom 25. März 2025 E. 2.7, zur Publikation vorgesehen, mit Hinweisen). Das ist hier nicht ohne Weiteres der Fall. Die Voraussetzungen für einen selbständigen Weiterzug des angefochtenen Zwischenentscheids vom 4. Juni 2025 an das Bundesgericht sind nicht erfüllt.</w:t>
      </w:r>
    </w:p>
    <w:p>
      <w:r>
        <w:rPr>
          <w:b/>
        </w:rPr>
        <w:t>E. 2.3</w:t>
      </w:r>
    </w:p>
    <w:p>
      <w:r>
        <w:t>Soweit der Beschwerdeführer geltend macht, das Mobiltelefon sei nicht ordentlich gesiegelt worden, weshalb eine Entsiegelung unzulässig sei und sich weiter gegen den vom Zwangsmassnahmengericht bejahten hinreichenden Tatverdacht richtet, macht er lediglich andere, allgemeine Beschlagnahmehindernisse geltend, die zwar ebenfalls von der Vorinstanz zu prüfen waren (und geprüft wurden), aber für sich alleine, wie oben dargelegt, nicht zur Anrufung des Bundesgerichts berechtigen (vgl. E. 1.4 hiervor).</w:t>
      </w:r>
    </w:p>
    <w:p>
      <w:r>
        <w:t>Daran ändert auch nichts, dass der Beschwerdeführer mit Eingabe vom 20. November 2025 geltend macht, gemäss dem Aktenverbal des Zwangsmassnahmengerichts vom 18. November 2025 seien die Ergebnisse der Triage der sichergestellten Aufzeichnungen überprüft worden. Daraus folge, die Strafverfolgungsbehörden hätten bereits Zugang zu den betreffenden Daten erlangt. Mangels vom Beschwerdeführer beantragter aufschiebender Wirkung war die Staatsanwaltschaft nach dem Entscheid des Zwangsmassnahmengerichts vom 4. Juni 2025 berechtigt, das sichergestellte Mobiltelefon im Sinne dieses Entscheids zu durchsuchen (vgl. Sachverhalt B).</w:t>
      </w:r>
    </w:p>
    <w:p>
      <w:r>
        <w:rPr>
          <w:b/>
        </w:rPr>
        <w:t>E. 3</w:t>
      </w:r>
    </w:p>
    <w:p>
      <w:r>
        <w:t>Auf die Beschwerde ist folglich nicht einzutreten.</w:t>
      </w:r>
    </w:p>
    <w:p>
      <w:r>
        <w:t>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