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7B_620/2023 vom 10. Oktober 2023</w:t>
      </w:r>
    </w:p>
    <w:p>
      <w:r>
        <w:t>Bundesgericht, 2023-10-10, DE</w:t>
      </w:r>
    </w:p>
    <w:p>
      <w:r>
        <w:rPr>
          <w:b/>
        </w:rPr>
        <w:t xml:space="preserve">Quelle: </w:t>
      </w:r>
      <w:r>
        <w:t>https://mcp.opencaselaw.ch/entscheid/bger_7B_620_2023</w:t>
      </w:r>
    </w:p>
    <w:p>
      <w:r>
        <w:t>FR: TF 7B_620/2023 du 10 octobre 2023</w:t>
      </w:r>
    </w:p>
    <w:p>
      <w:r>
        <w:t>IT: TF 7B_620/2023 del 10 ottobre 2023</w:t>
      </w:r>
    </w:p>
    <w:p>
      <w:pPr>
        <w:pStyle w:val="Heading2"/>
      </w:pPr>
      <w:r>
        <w:t>Erwägungen</w:t>
      </w:r>
    </w:p>
    <w:p>
      <w:r>
        <w:rPr>
          <w:b/>
        </w:rPr>
        <w:t>E. 1</w:t>
      </w:r>
    </w:p>
    <w:p>
      <w:r>
        <w:t>A.________ erstattete am 25. November 2022 Strafantrag gegen die beim Amt für Lebensmittelsicherheit und Veterinärwesen des Kantons Basel-Landschaft tätige B.________ wegen Beschimpfung ( Art. 177 StGB ). Die Staatsanwaltschaft Basel-Landschaft eröffnete daraufhin ein Strafverfahren und stellte dieses mit Verfügung vom 30. März 2023 ein. Das Kantonsgericht Basel-Landschaft wies die von A.________ dagegen erhobene Beschwerde mit Beschluss vom 27. Juni 2023 ab.</w:t>
      </w:r>
    </w:p>
    <w:p>
      <w:r>
        <w:rPr>
          <w:b/>
        </w:rPr>
        <w:t>E. 2</w:t>
      </w:r>
    </w:p>
    <w:p>
      <w:r>
        <w:t>Mit Eingabe vom 14. September 2023 führt A.________ Beschwerde in Strafsachen an das Bundesgericht. Er beantragt, unter Aufhebung des Beschlusses des Kantonsgericht vom 27. Juni 2023 sei die Staatsanwaltschaft anzuweisen, gegen B.________ Anklage wegen Beschimpfung zu erheben. Das Bundesgericht verzichtet auf die Einholung von Vernehmlassungen.</w:t>
      </w:r>
    </w:p>
    <w:p>
      <w:r>
        <w:rPr>
          <w:b/>
        </w:rPr>
        <w:t>E. 3</w:t>
      </w:r>
    </w:p>
    <w:p>
      <w:r>
        <w:t>Gemäss Art. 81 Abs. 1 lit. b Ziff. 5 BGG ist die Privatklägerschaft zur Beschwerde in Strafsachen nur berechtigt, wenn der angefochtene Entscheid sich auf die Beurteilung ihrer Zivilansprüche auswirken kann ( BGE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Urteil 6B_387/2022 vom 2. Mai 2022 E. 2).</w:t>
      </w:r>
    </w:p>
    <w:p>
      <w:r>
        <w:rPr>
          <w:b/>
        </w:rPr>
        <w:t>E. 4</w:t>
      </w:r>
    </w:p>
    <w:p>
      <w:r>
        <w:t>Die vom Beschwerdeführer Beschuldigte soll die ihr vorgeworfene Beschimpfung, wonach der Beschwerdeführer ein "verdammtes Arschloch" sei, in ihrer Funktion als Mitarbeiterin des Amts für Lebensmittelsicherheit und Veterinärwesen des Kantons Basel-Landschaft geäussert haben. Nach § 3 Abs. 1 des Gesetzes über die Haftung des Kantons und der Gemeinden des Kantons Basel-Landschaft vom 24. April 2008 (Haftungsgesetz/BL; SGS 105) haftet der Staat für den Schaden, den seine Mitarbeitenden in Ausübung ihrer amtlichen Tätigkeiten Dritten rechtswidrig verursachen. Nach § 3 Abs. 2 des Haftungsgesetzes/BL steht der geschädigten Person kein direkter vermögensrechtlicher Anspruch gegenüber den fehlbaren Mitarbeitenden zu. Dementsprechend beurteilen sich im vorliegenden Fall allfällige Schadenersatz- und Genugtuungsforderungen gegen die beschuldigte Mitarbeiterin des Amts für Lebensmittelsicherheit und Veterinärwesen nach dem kantonalen Haftungsgesetz und sind demnach öffentlich-rechtlicher Natur. Zivilrechtliche Ansprüche stehen dem Beschwerdeführer daher nicht zu. Er ist folglich zur Beschwerde in Strafsachen im Sinne von Art. 81 Abs. 1 lit. b Ziff. 5 BGG nicht legitimiert.</w:t>
      </w:r>
    </w:p>
    <w:p>
      <w:r>
        <w:rPr>
          <w:b/>
        </w:rPr>
        <w:t>E. 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(siehe Urteil 6B_574/2022 vom 15. Juni 2022; vgl. auch BGE 136 IV 41 E. 1.4; je mit Hinweisen). Der Beschwerdeführer äussert keine solchen formellen Einwendungen, weshalb auch unter diesem Titel nicht auf die Beschwerde eingetreten werden kann.</w:t>
      </w:r>
    </w:p>
    <w:p>
      <w:r>
        <w:rPr>
          <w:b/>
        </w:rPr>
        <w:t>E. 6</w:t>
      </w:r>
    </w:p>
    <w:p>
      <w:r>
        <w:t>Die Beschwerde erweist sich aus den genannten Gründen als offensichtlich unzulässig, weshalb auf sie im vereinfachten Verfahren nach Art. 108 Abs. 1 lit. a BGG nicht einzutreten ist. Ausgangsgemäss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