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7B_618/2025 vom 11. Juli 2025</w:t>
      </w:r>
    </w:p>
    <w:p>
      <w:r>
        <w:t>Bundesgericht, 2025-07-11, FR</w:t>
      </w:r>
    </w:p>
    <w:p>
      <w:r>
        <w:rPr>
          <w:b/>
        </w:rPr>
        <w:t xml:space="preserve">Quelle: </w:t>
      </w:r>
      <w:r>
        <w:t>https://mcp.opencaselaw.ch/entscheid/bger_7B_618_2025</w:t>
      </w:r>
    </w:p>
    <w:p>
      <w:r>
        <w:t>FR: TF 7B_618/2025 du 11 juillet 2025</w:t>
      </w:r>
    </w:p>
    <w:p>
      <w:r>
        <w:t>IT: TF 7B_618/2025 del 11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30 jours qui suivent sa notification ( art. 100 al. 1 LTF ). Les mémoires doivent être remis au plus tard le dernier jour du délai, soit au Tribunal fédéral soit, à l'attention de ce dernier, à La Poste Suisse ou à une représentation diplomatique ou consulaire suisse ( art. 48 al. 1 LTF ).</w:t>
      </w:r>
    </w:p>
    <w:p>
      <w:r>
        <w:t>En l'espèce, selon le suivi des envois recommandés de La Poste Suisse, l'arrêt rendu le 28 mai 2025 par la cour cantonale a été notifié au recourant le 3 juin 2025. Le délai de recours a ainsi commencé à courir le lendemain pour arriver à échéance le 3 juillet 2025. Il s'ensuit que le recours posté à l'adresse du Tribunal fédéral le 4 juillet 2025 (date du sceau postal) est tardif.</w:t>
      </w:r>
    </w:p>
    <w:p>
      <w:r>
        <w:rPr>
          <w:b/>
        </w:rPr>
        <w:t>E. 2</w:t>
      </w:r>
    </w:p>
    <w:p>
      <w:r>
        <w:t>Au vu de ce qui précède, l'irrecevabilité manifeste du recours doit être constatée dans la procédure simplifiée prévue par l' art. 108 al. 1 let. a LTF . Il sera exceptionnellement statué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