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7B_615/2024 vom 4. Juni 2024</w:t>
      </w:r>
    </w:p>
    <w:p>
      <w:r>
        <w:t>Bundesgericht, 2024-06-04, FR</w:t>
      </w:r>
    </w:p>
    <w:p>
      <w:r>
        <w:rPr>
          <w:b/>
        </w:rPr>
        <w:t xml:space="preserve">Quelle: </w:t>
      </w:r>
      <w:r>
        <w:t>https://mcp.opencaselaw.ch/entscheid/bger_7B_615_2024</w:t>
      </w:r>
    </w:p>
    <w:p>
      <w:r>
        <w:t>FR: TF 7B_615/2024 du 4 juin 2024</w:t>
      </w:r>
    </w:p>
    <w:p>
      <w:r>
        <w:t>IT: TF 7B_615/2024 del 4 giugno 2024</w:t>
      </w:r>
    </w:p>
    <w:p>
      <w:pPr>
        <w:pStyle w:val="Heading2"/>
      </w:pPr>
      <w:r>
        <w:t>Erwägungen</w:t>
      </w:r>
    </w:p>
    <w:p>
      <w:r>
        <w:rPr>
          <w:b/>
        </w:rPr>
        <w:t>E. 1</w:t>
      </w:r>
    </w:p>
    <w:p>
      <w:r>
        <w:t>La IIe Cour de droit pénal du Tribunal fédéral est compétente pour se prononcer sur la conclusion du recourant tendant à sa libération immédiate de la détention pour des motifs de sûreté. Pour le reste, la cause est pendante devant la Ire Cour de droit pénal du Tribunal fédéral sous la référence 6B_441/2024 (art. 35 et 35a let. b du règlement du Tribunal fédéral [RTF; RS 173.110.131]).</w:t>
      </w:r>
    </w:p>
    <w:p>
      <w:r>
        <w:rPr>
          <w:b/>
        </w:rPr>
        <w:t>E. 2.1</w:t>
      </w:r>
    </w:p>
    <w:p>
      <w:r>
        <w:t>En matière de détention provisoire ou de détention pour des motifs de sûreté, le recours en matière pénale doit être déposé devant le Tribunal fédéral dans les 30 jours qui suivent la notification de l'expédition complète de la décision attaquée sans tenir compte des féries judiciaires (art. 46 al. 2 et 100 al. 1 LTF; ATF 133 I 270 consid. 1.2.2). L'exigence de célérité de la procédure dans ce domaine ne se concilie en effet pas avec la suspension des délais de recours (arrêt 7B_634/2023 du 20 septembre 2023 consid. 1.1 et la réf. citée).</w:t>
      </w:r>
    </w:p>
    <w:p>
      <w:r>
        <w:t>Les délais dont le début dépend d'une communication ou de la survenance d'un événement courent dès le lendemain de celles-ci ( art. 44 al. 1 LTF ). Les mémoires doivent être remis au plus tard le dernier jour du délai, soit au Tribunal fédéral soit, à l'attention de ce dernier, à La Poste Suisse ou à une représentation diplomatique ou consulaire suisse ( art. 48 al. 1 LTF ).</w:t>
      </w:r>
    </w:p>
    <w:p>
      <w:r>
        <w:rPr>
          <w:b/>
        </w:rPr>
        <w:t>E. 2.2</w:t>
      </w:r>
    </w:p>
    <w:p>
      <w:r>
        <w:t>En l'espèce, le conseil du recourant a retiré le 22 avril 2024 l'exemplaire de la décision attaquée, soit de celle rendue le 17 avril 2024 par la Cour pénale confirmant son maintien en détention pour des motifs de sûreté. Le délai de recours contre cette décision est ainsi arrivé à échéance le 22 mai 2024.</w:t>
      </w:r>
    </w:p>
    <w:p>
      <w:r>
        <w:t>Déposé le 30 mai 2024 (timbre postal), le recours contre la décision confirmant le maintien du recourant en détention pour des motifs de sûreté est dès lors manifestement tardif.</w:t>
      </w:r>
    </w:p>
    <w:p>
      <w:r>
        <w:rPr>
          <w:b/>
        </w:rPr>
        <w:t>E. 3</w:t>
      </w:r>
    </w:p>
    <w:p>
      <w:r>
        <w:t>Au vu de ce qui précède, le recours doit être déclaré irrecevable selon la procédure simplifiée prévue par l' art. 108 al. 1 let. a LTF , en tant qu'il porte sur le maintien de la détention pour des motifs de sûreté. Il sera exceptionnellement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