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614/2024 vom 5. November 2024</w:t>
      </w:r>
    </w:p>
    <w:p>
      <w:r>
        <w:t>Bundesgericht, 2024-11-05, FR</w:t>
      </w:r>
    </w:p>
    <w:p>
      <w:r>
        <w:rPr>
          <w:b/>
        </w:rPr>
        <w:t xml:space="preserve">Quelle: </w:t>
      </w:r>
      <w:r>
        <w:t>https://mcp.opencaselaw.ch/entscheid/bger_7B_614_2024</w:t>
      </w:r>
    </w:p>
    <w:p>
      <w:r>
        <w:t>FR: TF 7B 614/2024 du 5 novembre 2024</w:t>
      </w:r>
    </w:p>
    <w:p>
      <w:r>
        <w:t>IT: TF 7B 614/2024 del 5 novembre 2024</w:t>
      </w:r>
    </w:p>
    <w:p>
      <w:pPr>
        <w:pStyle w:val="Heading2"/>
      </w:pPr>
      <w:r>
        <w:t>Regeste</w:t>
      </w:r>
    </w:p>
    <w:p>
      <w:r>
        <w:t>Procédure pénale; refus d'autoriser le prévenu à assister personnellement à l'audition de la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confirme l'ordonnance du Ministère public restreignant le droit d'être entendu du recourant et a été rendu au cours d'une procédure pénale par une autorité de dernière instance cantonale ( art. 80 LTF ). La voie du recours en matière pénale est donc en principe ouverte ( art. 78 ss LTF ). Le recours a en outre été déposé en temps utile (cf. art. 44 ss et 100 al. 1 LTF ). Le recourant, qui est prévenu et a pris part à la procédure devant l'instance précédente, entend en substance faire annuler l'ordonnance rendue par le Ministère public qui suspend son droit de participer personnellement à l'audition à venir de l'intimée. Il dispose ainsi d'un intérêt juridique à l'annulation ou à la modification de la décision entreprise et la qualité pour recourir doit lui être reconnue (cf. art. 81 al. 1 let. a et b ch. 1 LTF; arrêt 1B_606/2019 du 19 mai 2020 consid. 1).</w:t>
      </w:r>
    </w:p>
    <w:p>
      <w:r>
        <w:rPr>
          <w:b/>
        </w:rPr>
        <w:t>E. 1.2</w:t>
      </w:r>
    </w:p>
    <w:p>
      <w:r>
        <w:t>La décision entreprise ne met pas fin à la procédure pénale; elle a donc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144 IV 127 consid. 1.3). La condition du risque de préjudice irréparable est réalisée en l'espèce dans la mesure où il s'agit d'un cas de restriction possiblement inadmissible portée aux droits du prévenu de participer à l'administration des preuves (cf. ATF 139 IV 25 consid. 1; arrêts 1B_606/2019 du 19 mai 2020 consid. 1.2; 1B_230/2019 du 8 octobre 2019 consid. 1.5.2; 1B_520/2017 du 4 juillet 2018 consid. 1.2 non publié aux ATF 144 I 253 ).</w:t>
      </w:r>
    </w:p>
    <w:p>
      <w:r>
        <w:rPr>
          <w:b/>
        </w:rPr>
        <w:t>E. 2.1</w:t>
      </w:r>
    </w:p>
    <w:p>
      <w:r>
        <w:t>Se plaignant d'arbitraire, le recourant remet en cause les faits retenus par l'instance précédente et son appréciation de la valeur probante du certificat médical établi le 9 octobre 2023 en faveur de l'intimée.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arrêt 7B_907/2024 du 23 septembre 2024 consid. 3.1.3).</w:t>
      </w:r>
    </w:p>
    <w:p>
      <w:r>
        <w:rPr>
          <w:b/>
        </w:rPr>
        <w:t>E. 2.3</w:t>
      </w:r>
    </w:p>
    <w:p>
      <w:r>
        <w:t>Le recourant fait valoir que le certificat médical du 9 octobre 2023 est postérieur aux auditions des praticiens du 4 mai 2023, de sorte que ceux-ci ne pouvaient pas confirmer le contenu dudit certificat à ce moment-ci. Un tel constat aurait dû, selon lui, conduire la cour cantonale à accorder au certificat médical en question une valeur probante inférieure et à conclure que l'ordonnance du Ministère public, en partie fondée sur ledit certificat, était disproportionnée. En l'espèce, on comprend, à la lecture de l'arrêt attaqué, que le certificat du 9 octobre 2023 confirme l'état de santé de l'intimée, à savoir une extrême fragilité psychique, ce que les précédents certificats attestent également et que le recourant ne remet par ailleurs pas en cause. Ainsi, bien que les praticiens n'aient pas pu confirmer la teneur du certificat du 9 octobre 2023 lors de leur audition du 4 mai 2023, ils l'ont fait s'agissant des précédents certificats médicaux dont la teneur correspond à celle du certificat établi le 9 octobre 2023. Le recourant ne s'en prend dès lors pas valablement à la motivation cantonale et se borne à présenter une appréciation différente de la preuve litigieuse pour démontrer le caractère arbitraire de l'arrêt querellé, ce qui est insuffisant. Partant, le grief du recourant doit être écarté.</w:t>
      </w:r>
    </w:p>
    <w:p>
      <w:r>
        <w:rPr>
          <w:b/>
        </w:rPr>
        <w:t>E. 3.1</w:t>
      </w:r>
    </w:p>
    <w:p>
      <w:r>
        <w:t>Le recourant se plaint d'une violation de son droit d'être entendu, en se référant aux art. 107 al. 1 let. b et 147 CPP , 29 et 32 Cst. ainsi qu'à l' art. 6 ch. 3 let . d CEDH. Il reproche également à la cour cantonale d'avoir violé les art. 108 al. 1 let. b, 149 al. 2 let. b et d et 152 CPP.</w:t>
      </w:r>
    </w:p>
    <w:p>
      <w:r>
        <w:rPr>
          <w:b/>
        </w:rPr>
        <w:t>E. 3.2</w:t>
      </w:r>
    </w:p>
    <w:p>
      <w:r>
        <w:t>L' 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 ATF 143 IV 397 consid. 3.3.1; arrêt 6B_136/2021 du 6 septembre 2021 consid. 2.1). Les preuves administrées en violation de l' art. 147 al. 1 CPP ne sont pas exploitables à la charge de la partie qui n'était pas présente ( art. 147 al. 4 CPP ; cf. ATF 143 IV 397 consid. 3.3.1; 143 IV 457 consid. 1.6.1; arrêt 6B_136/2021 du 6 septembre 2021 consid. 2.1). 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 Dans les affaires d'abus sexuels, l' art. 6 par. 3 let . d CEDH ne saurait toutefois être interprété comme imposant dans chaque cas que des questions soient posées directement par l'accusé ou par son avocat, dans un contre-interrogatoire ou par d'autres moyens. Dans de telles affaires, certaines mesures peuvent être prises aux fins de la protection de la victime, pourvu qu'elles soient conciliables avec l'exercice adéquat et effectif des droits de la défense (arrêt de la CourEDH Vronchenko contre Estonie du 18 octobre 2013, par. 56). Il convient d'examiner dans chaque cas particulier quelles sont les procédures et les mesures de substitution qui entrent en ligne de compte pour garantir autant que possible les droits de la défense de l'accusé tout en tenant compte des intérêts de la victime ( ATF 143 IV 397 consid. 5.2; 129 I 151 consid. 5; arrêt 6B_536/2023 du 2 octobre 2023 consid. 1.2.2). Les mesures de protection des victimes peuvent consister, par exemple, en ce que la victime ne soit interrogée que par le défenseur, éventuellement par l'intermédiaire d'une personne spécialement formée, ou en ce que l'interrogatoire de la victime soit retransmis par voie audiovisuelle dans une autre salle, d'où le prévenu peut le suivre et poser des questions dans un contexte temporel immédiat. Si le prévenu doit quitter la salle pendant l'interrogatoire, ses droits de défense peuvent également être garantis si son défenseur est présent pendant l'interrogatoire, qu'il peut poser des questions et que la possibilité lui est donnée de demander des interruptions de l'interrogatoire pour informer son client et poser des questions complémentaires après la reprise de la procédure. Une transmission vidéo n'est pas obligatoire dans toutes les circonstances (arrêts 6B_536/2023 du 2 octobre 2023 consid 1.2.2; 6B_492/2015 du 2 décembre 2015 consid. 1.3 non publié aux ATF 141 IV 437 ).</w:t>
      </w:r>
    </w:p>
    <w:p>
      <w:r>
        <w:rPr>
          <w:b/>
        </w:rPr>
        <w:t>E. 3.3</w:t>
      </w:r>
    </w:p>
    <w:p>
      <w:r>
        <w:t>En l'espèce, les juges cantonaux ont relevé que, jusqu'en octobre 2023, l'intimée avait présenté des certificats médicaux constatant que son état psychologique ne lui permettait pas de comparaître, que ce soit pour être entendue ou pour une audience de confrontation; même une présence symbolique du recourant, dans une salle séparée, engendrerait un risque de décompensation psychique, considéré comme important. Ils ont en outre indiqué qu'aucun élément au dossier ne permettait de considérer que l'état de l'intimée lui permettrait dorénavant d'être entendue en présence du recourant, même dans une pièce séparée; bien au contraire, il ressortait du procès-verbal de l'audience annulée du 23 janvier 2024 qu'elle n'était toujours pas en état physique et psychique d'être auditionnée, même dans ces circonstances adaptées. La cour cantonale en a conclu qu'une restriction des droits du recourant apparaissait raisonnable, adéquate et proportionnée. L'ordonnance querellée ordonnait une suspension partielle de la participation du recourant à l'audition de l'intimée; ainsi, les droits de la défense du recourant restaient garantis par la présence de son avocat, avec la possibilité pour celui-ci de poser immédiatement des questions, par l'accès complet au dossier, y compris au procès-verbal d'audition, et par la possibilité pour le recourant de poser des questions complémentaires par écrit par la suite (cf. arrêt attaqué, consid. 3.6 p. 6-7). Concernant les mesures alternatives proposées par le recourant - soit l'utilisation d'une salle LAVI ou d'une salle séparée avec un dispositif de retransmission audio-visuelle -, les juges cantonaux ont estimé qu'elles apparaissaient comme inadaptées, voire incompatibles avec la protection prépondérante que nécessitait l'état de l'intimée (cf. arrêt attaqué, consid. 3.6 p. 7). S'agissant des certificats médicaux établis en faveur de l'intimée, la cour cantonale a relevé que les praticiens qui les avaient rédigés suivaient l'intimée de manière régulière et qu'ils étaient ainsi à même d'attester de son état; elle a ajouté que le recourant ne remettait pas en doute les incapacités attestées par ces certificats et qu'il n'avait pas sollicité d'expertise à cet égard; elle a enfin exposé qu'elle ne voyait de toute façon pas en quoi la valeur probante desdits documents serait remise en cause par le fait qu'ils auraient été rédigés pour les besoins de la cause, dès lors qu'ils étaient pertinents et concernaient précisément les actes de procédure envisagés (cf. arrêt attaqué, consid. 3.6 p. 7).</w:t>
      </w:r>
    </w:p>
    <w:p>
      <w:r>
        <w:rPr>
          <w:b/>
        </w:rPr>
        <w:t>E. 3.4</w:t>
      </w:r>
    </w:p>
    <w:p>
      <w:r>
        <w:t>Le recourant estime en substance que les déclarations de l'intimée constitueraient le seul élément à charge, qu'il devrait avoir la possibilité de rebondir personnellement et immédiatement sur lesdites déclarations et que sa présence lors de l'audition de l'intimée serait indispensable. Il considère également que la possibilité de poser des questions par écrit, telle que proposée par la cour cantonale, serait exclue en l'espèce dans la mesure où il apparaîtrait hautement vraisemblable - voire certain - que l'intimée ne se soumettra pas à une seconde audition. En outre, le recourant ajoute que d'autres mesures auraient pu répondre aux exigences de protection au sens de l'art. 149 al. 2 let. b et d CPP. Il considère enfin que les attestations médicales ne suffiraient pas pour écarter l'utilisation d'une salle LAVI ou d'une retransmission audio-visuelle dès lors que la valeur probante de ces attestations devrait être relativisée.</w:t>
      </w:r>
    </w:p>
    <w:p>
      <w:r>
        <w:rPr>
          <w:b/>
        </w:rPr>
        <w:t>E. 3.5</w:t>
      </w:r>
    </w:p>
    <w:p>
      <w:r>
        <w:t>En l'espèce, durant toute la procédure, le recourant n'a effectivement jamais eu l'occasion de suivre l'audition de l'intimée, directement ou indirectement. Il n'a ainsi pu percevoir ni les termes précis employés par cette dernière, ni ses réactions, l'expression de son visage ou encore son langage corporel. Il n'a pas non plus pu lui poser de questions directes. Il s'agit là de restrictions d'une grande importance (cf. ATF 125 I 127 consid. 8d). Toutefois, des certificats médicaux - établis par le médecin-psychiatre et la psychologue de l'intimée les 12 et 25 janvier, le 20 avril et le 9 octobre 2023 - ont été produits dans le cadre de la procédure. Il en ressort en substance que l'intimée n'est pas en état de comparaître à une audience de confrontation, ni d'être entendue, car il lui est impossible d'être confrontée à l'auteur des violences sexuelles dénoncées; il en résulte également que l'intimée avait fait une tentative de suicide au mois de juin 2023 et présentait des signes de désorganisation au niveau cognitif et émotionnel dès qu'il était question de la procédure pénale. En outre, selon le certificat établi le 9 octobre 2023, l'intimée n'était toujours pas en état de se présenter à une nouvelle audience appointée le 10 octobre 2023 en la présence, même symbolique, du recourant. Avec la cour cantonale, on comprend de ces éléments qu'une confrontation, même indirecte, n'est pas possible pour l'intimée dans la mesure où ces certificats relèvent également qu'il existe un risque important de décompensation psychique, ainsi qu'un risque considérable de récidive suicidaire pour l'intimée. À ces éléments s'ajoutent que les abus sexuels auxquels l'intimée prétend avoir été confrontée sont graves, en particulier au vu de son jeune âge au moment où ils auraient été perpétrés. L'atteinte portée aux droits du recourant est par ailleurs atténuée par la possibilité pour son avocat d'être présent à l'audition de l'intimée et de poser des questions immédiatement et directement à cette dernière. En outre, le recourant aura la possibilité de poser des questions complémentaires par écrit à la suite de l'audition s'il le souhaite; il n'explique du reste pas en quoi il lui serait indispensable de pouvoir être confronté personnellement à la victime et de percevoir son visage, ses réactions ou son langage corporel. Pour le surplus, les certificats établis par les médecins de l'intimée permettent d'écarter l'utilisation d'une salle LAVI ou d'une retransmission audiovisuelle dès lors qu'il en découlerait précisément une présence symbolique du recourant, inenvisageable en l'espèce. Le recourant n'explique par ailleurs pas en quoi la valeur probante de ces certificats devrait être relativisée et se limite à présenter une interprétation de leur contenu différente de celle retenue par la cour cantonale. S'agissant de l'arrêt 6B_324/2011 du 26 octobre 2011 invoqué par le recourant et admettant une confrontation indirecte d'une partie plaignante à un prévenu dans un cas d'abus sexuels, il n'est pas pertinent en l'espèce. En effet, dans cet arrêt, les faits reprochés au prévenu - à savoir des attouchements sur les fesses et les lèvres lors d'une séance de thérapie - n'ont pas été considérés comme assez graves pour exclure une confrontation entre les parties, et la partie plaignante n'avait pas fait valoir que la présence du prévenu dans une pièce séparée lui était insurmontable. On ne saurait dès lors appliquer à la présente affaire le raisonnement suivi dans l'arrêt précité. Au vu des éléments développés ci-dessus et des circonstances très particulières du cas d'espèce, il n'apparaît pas que le refus de confrontation, même indirecte, ordonné par le Ministère public soit disproportionné. Il se justifie ainsi de limiter partiellement les droits de participation du recourant en suspendant son droit de prendre part personnellement à l'audition de l'intimée. L'autorité précédente n'a dès lors pas violé les dispositions invoquées par le recourant en confirmant l'ordonnance rendue le 23 février 2024 par le Ministère public.</w:t>
      </w:r>
    </w:p>
    <w:p>
      <w:r>
        <w:rPr>
          <w:b/>
        </w:rPr>
        <w:t>E. 4</w:t>
      </w:r>
    </w:p>
    <w:p>
      <w:r>
        <w:t>Au vu de ce qui précède, le recours doit être rejeté dans la mesure où il est recevable. Dès lors que les conclusions du recourant étaient d'emblée vouées à l'échec, il convient de rejeter sa demande d'assistance judiciaire et de mettre à sa charge les frais de la procédure fédérale, fixés en tenant compte de sa situation financière qui n'apparaît pas favorable (art. 64 al. 1, 65 al. 2 et 66 al. 1 LTF). Étant donné l'issue du litige, l'intimée, qui est représentée par une avocate et qui s'est brièvement déterminée, a droit à des dépens à la charge du recourant ( art. 68 al. 1 et 2 LTF ). Ce qui précède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