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7B_614/2023 vom 31. Oktober 2023</w:t>
      </w:r>
    </w:p>
    <w:p>
      <w:r>
        <w:t>Bundesgericht, 2023-10-31, DE</w:t>
      </w:r>
    </w:p>
    <w:p>
      <w:r>
        <w:rPr>
          <w:b/>
        </w:rPr>
        <w:t xml:space="preserve">Quelle: </w:t>
      </w:r>
      <w:r>
        <w:t>https://mcp.opencaselaw.ch/entscheid/bger_7B_614_2023</w:t>
      </w:r>
    </w:p>
    <w:p>
      <w:r>
        <w:t>FR: TF 7B_614/2023 du 31 octobre 2023</w:t>
      </w:r>
    </w:p>
    <w:p>
      <w:r>
        <w:t>IT: TF 7B_614/2023 del 31 ottobre 2023</w:t>
      </w:r>
    </w:p>
    <w:p>
      <w:pPr>
        <w:pStyle w:val="Heading2"/>
      </w:pPr>
      <w:r>
        <w:t>Erwägungen</w:t>
      </w:r>
    </w:p>
    <w:p>
      <w:r>
        <w:rPr>
          <w:b/>
        </w:rPr>
        <w:t>E. 1</w:t>
      </w:r>
    </w:p>
    <w:p>
      <w:r>
        <w:t>Am 26. Mai 2020 erstattete der Beschwerdeführer bei der Staatsanwaltschaft Basel-Stadt Strafanzeige gegen eine Mitarbeiterin der Gesellschaft B.________ wegen angeblicher Urkundenfälschung, Nötigung, Diebstahls und Betrugs. Die Staatsanwaltschaft stellte das Verfahren am 3. April 2023 ein und verwies eine allfällige Zivilklage auf den Zivilweg. Eine dagegen erhobene Beschwerde wies das Appellationsgericht des Kantons Basel-Stadt am 30. Juni 2023 ab. Der Beschwerdeführer erhob am 14. September 2023 beim Bundesgericht Beschwerde in Strafsachen gegen das Urteil des Appellationsgerichts. Er ersucht ferner um unentgeltliche Rechtspflege.</w:t>
      </w:r>
    </w:p>
    <w:p>
      <w:r>
        <w:rPr>
          <w:b/>
        </w:rPr>
        <w:t>E. 2</w:t>
      </w:r>
    </w:p>
    <w:p>
      <w:r>
        <w:t>Die Beschwerde hat ein Begehren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Die Eingabe des Beschwerdeführers enthält keinen Antrag im Sinne von Art. 42 Abs. 1 BGG . Zudem mangelt es ihr an einer hinreichenden Begründung, weshalb dem Beschwerdeführer Zivilforderungen zustehen sollen und er als Privatkläger im Sinne von Art. 81 Abs. 1 lit. b Ziff. 5 BGG zur Beschwerde berechtigt sein soll. Ferner lässt sich der Beschwerde nicht ansatzweise entnehmen, dass und inwiefern die Vorinstanz mit dem angefochtenen Beschluss gegen das geltende Recht im Sinne von Art. 95 BGG verstossen haben könnte. Die Vorinstanz legt ausführlich dar, weshalb der vom Beschwerdeführer angezeigten Person kein strafrechtlich relevantes Verhalten zur Last gelegt werden kann und die Staatsanwaltschaft das angestrengte Strafverfahren daher zu Recht eingestellt hat. Was der Beschwerdeführer dagegen in seiner einseitigen Beschwerde vorbringt - und dies primär in Form von Fragen - erschöpft sich in appellatorischer Kritik. Mit den Erwägungen der Vorinstanz, welche die Rechtmässigkeit der Einstellungsverfügung vom 3. April 2023 behandeln - und sich im Übrigen zumindest teilweise mit Vorbringen befassen, welche der Beschwerdeführer vor Bundesgericht erneut vorträgt -, setzt er sich nicht materiell auseinander. Die Beschwerde genügt damit insgesamt den gesetzlichen Anforderungen offensichtlich nicht. Auf die Beschwerde ist im Verfahren nach Art. 108 BGG nicht einzutreten.</w:t>
      </w:r>
    </w:p>
    <w:p>
      <w:r>
        <w:rPr>
          <w:b/>
        </w:rPr>
        <w:t>E. 4</w:t>
      </w:r>
    </w:p>
    <w:p>
      <w:r>
        <w:t>Die Gerichtskosten sind dem Beschwerdeführer aufzuerlegen ( Art. 66 Abs. 1 BGG ). Das Gesuch um unentgeltliche Rechtspflege ist wegen offensichtlicher Aussichtslosigkeit der Beschwerde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