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613/2025 vom 4. August 2025</w:t>
      </w:r>
    </w:p>
    <w:p>
      <w:r>
        <w:t>Bundesgericht, 2025-08-04, DE</w:t>
      </w:r>
    </w:p>
    <w:p>
      <w:r>
        <w:rPr>
          <w:b/>
        </w:rPr>
        <w:t xml:space="preserve">Quelle: </w:t>
      </w:r>
      <w:r>
        <w:t>https://mcp.opencaselaw.ch/entscheid/bger_7B_613_2025</w:t>
      </w:r>
    </w:p>
    <w:p>
      <w:r>
        <w:t>FR: TF 7B 613/2025 du 4 août 2025</w:t>
      </w:r>
    </w:p>
    <w:p>
      <w:r>
        <w:t>IT: TF 7B 613/2025 del 4 agosto 2025</w:t>
      </w:r>
    </w:p>
    <w:p>
      <w:pPr>
        <w:pStyle w:val="Heading2"/>
      </w:pPr>
      <w:r>
        <w:t>Regeste</w:t>
      </w:r>
    </w:p>
    <w:p>
      <w:r>
        <w:t>Verlängerung Untersuchungshaft; Rückzug | Strafprozess</w:t>
      </w:r>
    </w:p>
    <w:p>
      <w:pPr>
        <w:pStyle w:val="Heading2"/>
      </w:pPr>
      <w:r>
        <w:t>Erwägungen</w:t>
      </w:r>
    </w:p>
    <w:p>
      <w:r>
        <w:rPr>
          <w:b/>
        </w:rPr>
        <w:t>E. 1</w:t>
      </w:r>
    </w:p>
    <w:p>
      <w:r>
        <w:t>A.________ wurde am 9. Januar 2025 wegen des Verdachts auf Vergewaltigung und weitere Delikte festgenommen und befindet sich seitdem in Untersuchungshaft. Diese wurde mehrfach verlängert, letztmals bis am 21. Juli 2025. Eine von A.________ hiergegen erhobene Beschwerde wies das Obergericht des Kantons Zürich mit Beschluss vom 27. Mai 2025 ab. Mit Beschwerde in Strafsachen vom 2. Juli 2025 verlangte A.________ die Aufhebung dieses Beschlusses und seine unverzügliche Haftentlassung, dies eventualiter unter Anordnung von Ersatzmassnahmen. Ausserdem ersuchte er um unentgeltliche Rechtspflege und Verbeiständung. Die Beschwerde wurde mit Eingabe vom 11. Juli 2025 zurückgezogen.</w:t>
      </w:r>
    </w:p>
    <w:p>
      <w:r>
        <w:rPr>
          <w:b/>
        </w:rPr>
        <w:t>E. 2</w:t>
      </w:r>
    </w:p>
    <w:p>
      <w:r>
        <w:t>Zufolge Rückzugs der Beschwerde ist das Verfahren in Anwendung von Art. 32 Abs. 1 und 2 BGG durch die Instruktionsrichterin als Einzelrichterin als erledigt abzuschreiben.</w:t>
      </w:r>
    </w:p>
    <w:p>
      <w:r>
        <w:rPr>
          <w:b/>
        </w:rPr>
        <w:t>E. 3</w:t>
      </w:r>
    </w:p>
    <w:p>
      <w:r>
        <w:t>Das Gesuch um unentgeltliche Rechtspflege und Verbeiständung bleibt vom Rückzug der Beschwerde unberührt, über dieses muss somit ungeachtet des Rückzugs entschieden werden (vgl. Verfügung 1B_351/2022 vom 8. September 2022 E. 3 mit Hinweis). Da die Voraussetzungen von Art. 64 Abs. 1 BGG erfüllt sind, ist dem Gesuch zu entsprechen. Rechtsanwältin Camenzind wird deshalb gestützt auf Art. 64 Abs. 2 BGG als unentgeltliche Rechtsbeiständin eingesetzt. In Anwendung von Art. 10 in Verbindung mit Art. 8 Abs. 3 des Reglements vom 31. März 2006 über die Parteientschädigung und die Entschädigung für die amtliche Vertretung im Verfahren vor dem Bundesgericht (SR 173.110.210.3) wi rd ihr aus der Bundesgerichtskasse eine reduzierte Entschädigung von Fr. 1'000.--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