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7B_612/2023 vom 20. November 2025</w:t>
      </w:r>
    </w:p>
    <w:p>
      <w:r>
        <w:t>Bundesgericht, 2025-11-20, FR</w:t>
      </w:r>
    </w:p>
    <w:p>
      <w:r>
        <w:rPr>
          <w:b/>
        </w:rPr>
        <w:t xml:space="preserve">Quelle: </w:t>
      </w:r>
      <w:r>
        <w:t>https://mcp.opencaselaw.ch/entscheid/bger_7B_612_2023</w:t>
      </w:r>
    </w:p>
    <w:p>
      <w:r>
        <w:t>FR: TF 7B_612/2023 du 20 novembre 2025</w:t>
      </w:r>
    </w:p>
    <w:p>
      <w:r>
        <w:t>IT: TF 7B_612/2023 del 20 novembre 2025</w:t>
      </w:r>
    </w:p>
    <w:p>
      <w:pPr>
        <w:pStyle w:val="Heading2"/>
      </w:pPr>
      <w:r>
        <w:t>Erwägungen</w:t>
      </w:r>
    </w:p>
    <w:p>
      <w:r>
        <w:rPr>
          <w:b/>
        </w:rPr>
        <w:t>E. 1.1</w:t>
      </w:r>
    </w:p>
    <w:p>
      <w:r>
        <w:t>Dirigé contre un arrêt confirmant une ordonnance de non-entrée en matière, le recours concerne une décision rendue en matière pénale (cf. art. 78 LTF ), qui émane d'une autorité cantonale de dernière instance (cf. art. 80 LTF ) et qui revêt un caractère final (cf. art. 90 LTF ). Il est donc recevable quant à son objet.</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256 consid. 3.1; 146 IV 76 consid. 3.1). Lorsque le comportement d'un auteur lèse exclusivement le patrimoine d'autrui, ce dommage n'est susceptible de faire l'objet d'une prétention civile en dommages-intérêts que si le comportement en cause constitue une violation d'une norme protectrice visant à protéger le lésé dans les droits atteints par l'acte incriminé ( ATF 146 IV 211 consid. 3.2; 141 III 527 consid. 3.2). Tel est notamment le cas de l'infraction d'escroquerie (arrêts 7B_774/2023 du 15 octobre 2025 consid. 1.2.1; 7B_111/2024 du 25 juillet 2024 consid. 3.5).</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7B_774/2023 précité consid. 1.2.2; 7B_571/2023 du 27 mai 2025 consid. 1.2.2; 7B_1230/2024 du 19 mai 2025 consid. 1.1.2). Elle doit exposer de manière précise les éléments fondant ses prétentions civiles, notamment en alléguant et en chiffrant, dans la mesure du possible, le dommage subi (arrêts 7B_571/2023 précité consid. 1.2.2; 7B_1/2025 du 3 mars 2025 consid. 2.1; 7B_1174/2024 du 19 février 2025 consid. 1.1.2).</w:t>
      </w:r>
    </w:p>
    <w:p>
      <w:r>
        <w:t>En matière d'infractions contre le patrimoine, la partie plaignante ne peut pas se contenter de se prévaloir d'avoir été touchée par l'infraction invoquée; elle doit fournir des explications précises sur le dommage éprouvé, sinon le recours est irrecevable (arrêts 7B_774/2023 précité consid. 1.2.2; 7B_1230/2024 précité consid. 1.1.1; 7B_654/2023 du 17 avril 2025 consid. 1.2.1).</w:t>
      </w:r>
    </w:p>
    <w:p>
      <w:r>
        <w:rPr>
          <w:b/>
        </w:rPr>
        <w:t>E. 1.2.2</w:t>
      </w:r>
    </w:p>
    <w:p>
      <w:r>
        <w:t>Dans la première section de son recours intitulée "recevabilité", le recourant se contente de faire valoir qu'il a chiffré ses conclusions civiles à un minimum de 100'000 francs. Une telle motivation ne répond pas aux exigences susmentionnées car elle ne permet pas d'identifier la nature du dommage dont le précité entend demander réparation via l'action civile exercée par adhésion à la procédure pénale. Cependant, à la lecture de la motivation des griefs soulevés par le recourant, on comprend que ce dernier fait valoir que B.________ aurait gardé pour lui une partie des valeurs patrimoniales qu'il aurait prétendument due remettre au recourant, ce qui aurait causé à celui-ci le dommage susmentionné. Il s'ensuit que la qualité pour recourir doit être reconnue à ce dernier.</w:t>
      </w:r>
    </w:p>
    <w:p>
      <w:r>
        <w:rPr>
          <w:b/>
        </w:rPr>
        <w:t>E. 1.3</w:t>
      </w:r>
    </w:p>
    <w:p>
      <w:r>
        <w:t>Le recourant ne formule qu'une conclusion en annulation avec renvoi à l'"autorité inférieure", sans autre précision. Or la Chambre des recours pénale n'est pas compétente pour ouvrir une instruction pénale. À la lecture du mémoire en recours, on comprend toutefois que le précité fait référence non à la Chambre des recours pénale, mais au Ministère public, de sorte que sa conclusion est admissible. Pour le surplus, le recours a été formé en temps utile (cf. art. 100 al. 1 LTF ) et dans le respect des formes prescrites par la loi (cf. art. 42 LTF ). Il y a donc lieu d'entrer en matière sur le recours.</w:t>
      </w:r>
    </w:p>
    <w:p>
      <w:r>
        <w:rPr>
          <w:b/>
        </w:rPr>
        <w:t>E. 2.1</w:t>
      </w:r>
    </w:p>
    <w:p>
      <w:r>
        <w:t>Dans un grief formel qu'il convient d'examiner en premier lieu, le recourant fait valoir que le prononcé d'une ordonnance de non-entrée en matière par le Ministère public violerait l' art. 310 CPP . Le Ministère public aurait en effet émis trois ordres de dépôt préalablement à son ordonnance de non-entrée en matière. Or de telles mesures de contrainte ne pourraient être entreprises qu'une fois l'instruction pénale ouverte, rendant</w:t>
      </w:r>
    </w:p>
    <w:p>
      <w:r>
        <w:t>a contrario inadmissible le prononcé d'une telle ordonnance. Ce vice aurait en particulier eu pour conséquence que le recourant n'aurait pas pu présenter des réquisitions de preuve, en violation de son droit d'être entendu.</w:t>
      </w:r>
    </w:p>
    <w:p>
      <w:r>
        <w:rPr>
          <w:b/>
        </w:rPr>
        <w:t>E. 2.2</w:t>
      </w:r>
    </w:p>
    <w:p>
      <w:r>
        <w:t>Un grief soulevé dans le cadre d'un recours en matière pénale au Tribunal fédéral doit impérativement avoir été soulevé au préalable devant l'autorité précédente, pour autant que cela fût possible, sous peine d'irrecevabilité (principe de l'épuisement des instances) ( ATF 145 IV 377 consid. 2.6; arrêts 7B_1320/2024 du 3 septembre 2025 consid. 4.4; 7B_229/2024 du 24 juin 2025 consid. 3.8; voir également ATF 150 III 353 consid. 4.4.3 [recours en matière civile]; 150 II 346 consid. 1.2.4 [recours en matière de droit public]). Bien que l'autorité pénale de recours ne soit pas liée par les motifs invoqués par les parties (cf. art. 391 al. 1 let. a CPP ), il n'en reste pas moins que le recours doit être motivé (cf. art. 396 al. 1 CPP ). On peut attendre d'un recourant assisté d'un conseil juridique professionnel qu'il soumette ses moyens à l'appréciation d'une autorité judiciaire supérieure avant de les invoquer devant le Tribunal fédéral, autorité judiciaire suprême de la Confédération (cf. art. 188 al. 1 Cst. ).</w:t>
      </w:r>
    </w:p>
    <w:p>
      <w:r>
        <w:rPr>
          <w:b/>
        </w:rPr>
        <w:t>E. 2.3</w:t>
      </w:r>
    </w:p>
    <w:p>
      <w:r>
        <w:t>Le grief du recourant fondé sur le prononcé d'une ordonnance de non-entrée en matière postérieurement à l'ouverture de l'instruction pénale n'a pas été soulevé devant l'autorité précédente. Au stade du recours cantonal, le recourant s'est en effet limité à invoquer un établissement incorrect des faits et une violation de l' art. 310 al. 1 let. a CPP , contestant l'appréciation selon laquelle les éléments constitutifs d'une infraction n'étaient manifestement pas réunis, alors même que ledit grief aurait pu être examiné par la Chambre des recours pénale, de sorte que le recours en matière pénale est irrecevable sur ce point. On relèvera qu'il n'est par ailleurs pas manifeste qu'un ordre de dépôt constitue un acte excédant les investigations autorisées avant le prononcé d'une ordonnance de non-entrée en matière (cf. arrêt 6B_89/2022 du 2 juin 2022 consid. 2.3.2).</w:t>
      </w:r>
    </w:p>
    <w:p>
      <w:r>
        <w:rPr>
          <w:b/>
        </w:rPr>
        <w:t>E. 3.1</w:t>
      </w:r>
    </w:p>
    <w:p>
      <w:r>
        <w:t>Sur le fond, le recourant reproche d'abord à la Chambre des recours pénale d'avoir confirmé l'ordonnance de non-entrée en matière, alors même que les faits de la cause ne permettraient selon lui pas de conclure que les éléments constitutifs de l'infraction d'abus de confiance n'étaient manifestement pas réunis au sens de l' art. 310 al. 1 let. a CPP . Les juges cantonaux auraient en particulier omis de tenir compte du fait que B.________ ne faisait en réalité qu'un avec D.________ SA et qu'il se serait approprié une partie des fonds qui lui auraient été confiés, au prétexte que des honoraires lui étaient dus.</w:t>
      </w:r>
    </w:p>
    <w:p>
      <w:r>
        <w:rPr>
          <w:b/>
        </w:rPr>
        <w:t>E. 3.2</w:t>
      </w:r>
    </w:p>
    <w:p>
      <w:r>
        <w:t>Conformément à l' art. 310 al. 1 let. a et b CPP ,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w:t>
      </w:r>
    </w:p>
    <w:p>
      <w:r>
        <w:t>Cette disposition doit être appliquée dans le respect de l'adage</w:t>
      </w:r>
    </w:p>
    <w:p>
      <w:r>
        <w:t>in dubio pro duriore , qui découle du principe de la légalité ( ATF 138 IV 86 consid. 4.2; arrêt 7B_774/2023 du 15 octobre 2025 consid. 2.2.1).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186 consid.4.1; 138 IV 86 consid. 4.1.1 et 4.1.2; 137 IV 285 consid. 2.3). Le ministère public et l'autorité de recours disposent dans ce cadre d'un pouvoir d'appréciation et le Tribunal fédéral n'intervient qu'avec retenue ( ATF 146 IV 68 consid. 2.2; 143 IV 241 consid. 2.3.3; 138 IV 186 consid. 4.1).</w:t>
      </w:r>
    </w:p>
    <w:p>
      <w:r>
        <w:t>Saisi d'un recours contre une décision de non-entrée en matière ou de classement, le Tribunal fédéral examine sous l'angle de l'arbitraire l'appréciation des preuves et l'établissement des faits opérés par l'autorité précédente, y compris quant à la question de savoir si un fait est clairement établi ou non ( ATF 143 IV 241 consid. 2.3.2 et 2.3.3; arrêts 7B_774/2023 précité consid. 2.2.1; 7B_617/2024 du 17 juillet 2025 consid. 2.4). En revanche, déterminer si l'autorité intimée a correctement appliqué le principe</w:t>
      </w:r>
    </w:p>
    <w:p>
      <w:r>
        <w:t>in dubio pro duriore relève du droit ( ATF 143 IV 241 consid. 2.3.3; arrêts 7B_774/2023 précité consid. 2.2.1; 7B_891/2024 du 22 octobre 2024 consid. 2.1.3).</w:t>
      </w:r>
    </w:p>
    <w:p>
      <w:r>
        <w:rPr>
          <w:b/>
        </w:rPr>
        <w:t>E. 3.3</w:t>
      </w:r>
    </w:p>
    <w:p>
      <w:r>
        <w:t>S'agissant d'un potentiel abus de confiance, seule infraction encore invoquée par le recourant devant le Tribunal fédéral, la Chambre des recours pénale a retenu que D.________ SA avait agi en son propre nom dans la procédure de faillite de Société F.________ en liquidation, et non en qualité d'auxiliaire d'encaissement pour plusieurs investisseurs, de sorte que le montant de 3'315'572 fr. 18 encaissé par cette société ne constituait pas une valeur confiée au sens de l' art. 138 ch. 2 CP . Rien ne laissait par ailleurs penser que le recourant aurait dû recevoir un gain supérieur à celui qu'il avait effectivement perçu, lequel s'élevait à plus de deux fois sa mise initiale.</w:t>
      </w:r>
    </w:p>
    <w:p>
      <w:r>
        <w:rPr>
          <w:b/>
        </w:rPr>
        <w:t>E. 3.4</w:t>
      </w:r>
    </w:p>
    <w:p>
      <w:r>
        <w:t>Il est constant que le recourant a réalisé un investissement de 125'000 fr. dont il a retiré un bénéfice net de quelque 250'000 fr., à part égale avec les autres investisseurs. Comme l'a relevé la Chambre des recours pénale, le recourant a précisé au chiffre 18 de sa plainte qu'"il était prévu que chaque investisseur reçoive un quart du montant de la créance reconnue par l'Office des poursuites {...} après déduction des frais d'honoraires d'avocats et du solde dû à la succession de feu C.________" (cf. pièce 4-4, p. 3). Pour le surplus, on ignore le contenu exact de cet arrangement uniquement oral, et notamment s'il liait D.________ SA.</w:t>
      </w:r>
    </w:p>
    <w:p>
      <w:r>
        <w:t>À la lumière des faits établis au cours de la procédure cantonale, il n'apparaît ainsi pas que l'existence d'une stipulation qui aurait garanti au recourant un bénéfice supérieur aux 250'000 fr. nets qu'il a perçus soit susceptible d'être établie avec un degré minimal de vraisemblance. Partant, l'élément constitutif d'emploi indu de valeurs confiées intrinsèque à l'abus de confiance (cf. ATF 133 IV 21 consid. 6.1.1; 129 IV 257 consid. 2.2.1) n'est manifestement pas rempli en l'espèce. L'autorité précédente n'a ainsi pas violé le droit fédéral lorsqu'elle est parvenue à la conclusion que le Ministère public n'avait pas enfreint l' art. 310 CPP .</w:t>
      </w:r>
    </w:p>
    <w:p>
      <w:r>
        <w:rPr>
          <w:b/>
        </w:rPr>
        <w:t>E. 4.1</w:t>
      </w:r>
    </w:p>
    <w:p>
      <w:r>
        <w:t>Le recourant reproche encore à la Chambre des recours pénale d'avoir omis de faire état d'une violation du principe de la célérité en lien avec la période de 17 mois séparant le dépôt de sa plainte et le prononcé de l'ordonnance de non-entrée en matière.</w:t>
      </w:r>
    </w:p>
    <w:p>
      <w:r>
        <w:rPr>
          <w:b/>
        </w:rPr>
        <w:t>E. 4.2</w:t>
      </w:r>
    </w:p>
    <w:p>
      <w:r>
        <w:t>Dans la mesure où la durée considérée comme excessive par le recourant concerne la période antérieure à la procédure de recours cantonale, celui-ci aurait pu, et dû, soulever ce grief devant la Chambre des recours pénale (cf. consid. 2.2</w:t>
      </w:r>
    </w:p>
    <w:p>
      <w:r>
        <w:t>supra ), ce qu'il n'a pas fait. Ce moyen n'a de surcroît pas d'intérêt à la lumière de sa conclusion en cassation de l'ordonnance de non-entrée en matière du Ministère public. Le moyen tiré d'une violation du principe de la célérité par le Ministère public doit en conséquence être écarté.</w:t>
      </w:r>
    </w:p>
    <w:p>
      <w:r>
        <w:rPr>
          <w:b/>
        </w:rPr>
        <w:t>E. 5</w:t>
      </w:r>
    </w:p>
    <w:p>
      <w:r>
        <w:t>Il résulte de ce qui précède que 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