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7B_611/2025 vom 19. November 2025</w:t>
      </w:r>
    </w:p>
    <w:p>
      <w:r>
        <w:t>Bundesgericht, 2025-11-19, FR</w:t>
      </w:r>
    </w:p>
    <w:p>
      <w:r>
        <w:rPr>
          <w:b/>
        </w:rPr>
        <w:t xml:space="preserve">Quelle: </w:t>
      </w:r>
      <w:r>
        <w:t>https://mcp.opencaselaw.ch/entscheid/bger_7B_611_2025</w:t>
      </w:r>
    </w:p>
    <w:p>
      <w:r>
        <w:t>FR: TF 7B_611/2025 du 19 novembre 2025</w:t>
      </w:r>
    </w:p>
    <w:p>
      <w:r>
        <w:t>IT: TF 7B_611/2025 del 19 novembre 2025</w:t>
      </w:r>
    </w:p>
    <w:p>
      <w:pPr>
        <w:pStyle w:val="Heading2"/>
      </w:pPr>
      <w:r>
        <w:t>Erwägungen</w:t>
      </w:r>
    </w:p>
    <w:p>
      <w:r>
        <w:rPr>
          <w:b/>
        </w:rPr>
        <w:t>E. 1.1</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 ATF 123 V 335 ; arrêt 6B_879/2023 du 4 octobre 2023 consid. 5).</w:t>
      </w:r>
    </w:p>
    <w:p>
      <w:r>
        <w:t>De plus,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147 IV 73 consid. 4.1.2).</w:t>
      </w:r>
    </w:p>
    <w:p>
      <w:r>
        <w:rPr>
          <w:b/>
        </w:rPr>
        <w:t>E. 1.2</w:t>
      </w:r>
    </w:p>
    <w:p>
      <w:r>
        <w:t>En l'espèce, la cour cantonale a considéré que A.________ se bornait à contester le sort réservé à sa plainte pénale et à mettre en cause son avocat et la juge de première instance ayant ratifié la convention sur les effets du divorce. II ne faisait valoir aucun élément nouveau survenu depuis la notification de l'arrêt du 25 septembre 2024. Il ne prétendait pas non plus qu'il ne serait pas en mesure de s'acquitter des frais en question, ni qu'il serait indigent, ou que le paiement de ces frais le placerait dans une situation qui ferait apparaître ceux-ci comme disproportionnés. Il n'avait de surcroît produit aucune pièce propre à établir sa situation financière. Partant, à supposer que sa demande fût motivée à satisfaction - ce qui pouvait rester indécis -, il fallait constater qu'elle ne pouvait qu'être rejetée, les conditions d'une remise de frais au sens de l' art. 425 CPP n'étant pas remplies.</w:t>
      </w:r>
    </w:p>
    <w:p>
      <w:r>
        <w:rPr>
          <w:b/>
        </w:rPr>
        <w:t>E. 1.3</w:t>
      </w:r>
    </w:p>
    <w:p>
      <w:r>
        <w:t>Face à la motivation cantonale, le recourant - qui se plaint de violation de l' art. 6 par. 1 CEDH ainsi que des art. 9 et 29 Cst. - se borne à reprocher à l'autorité précédente d'avoir exigé de lui qu'il produise "des preuves détaillées de [s]a situation financière" dans le cadre de sa demande de remise de frais, alors qu'aucun contrôle n'aurait été exercé "sur le montant de loyer déclaré par [s]on ex-épouse" dans la procédure au fond ayant donné lieu à l'ordonnance de non-entrée en matière du 8 mai 2024; il y voit une "inégalité manifeste dans l'administration des preuves" ainsi qu'un traitement arbitraire et contraire aux garanties fondamentales. Ce faisant, il omet toutefois de discuter la constatation de la cour cantonale selon laquelle les conditions d'une remise de frais n'étaient pas remplies. Il n'articule à cet égard aucune motivation, conforme aux exigences en la matière, susceptible d'établir en quoi l'autorité précédente aurait violé ses droits fondamentaux ou le droit fédéral (en particulier l' art. 425 CPP ) en rejetant sa demande de remise de frais, dans la mesure où celle-ci était recevable.</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de la procédure fédérale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