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7B_605/2024 vom 25. Juni 2024</w:t>
      </w:r>
    </w:p>
    <w:p>
      <w:r>
        <w:t>Bundesgericht, 2024-06-25, DE</w:t>
      </w:r>
    </w:p>
    <w:p>
      <w:r>
        <w:rPr>
          <w:b/>
        </w:rPr>
        <w:t xml:space="preserve">Quelle: </w:t>
      </w:r>
      <w:r>
        <w:t>https://mcp.opencaselaw.ch/entscheid/bger_7B_605_2024</w:t>
      </w:r>
    </w:p>
    <w:p>
      <w:r>
        <w:t>FR: TF 7B_605/2024 du 25 juin 2024</w:t>
      </w:r>
    </w:p>
    <w:p>
      <w:r>
        <w:t>IT: TF 7B_605/2024 del 25 giugno 2024</w:t>
      </w:r>
    </w:p>
    <w:p>
      <w:pPr>
        <w:pStyle w:val="Heading2"/>
      </w:pPr>
      <w:r>
        <w:t>Erwägungen</w:t>
      </w:r>
    </w:p>
    <w:p>
      <w:r>
        <w:rPr>
          <w:b/>
        </w:rPr>
        <w:t>E. 1</w:t>
      </w:r>
    </w:p>
    <w:p>
      <w:r>
        <w:t>Der Beschwerdeführer erstattete im Rahmen einer von der Staatsanwaltschaft I des Kantons Zürich gegen ihn wegen Drohung mit einer laufenden Motorsäge etc. geführten Strafuntersuchung eine Gegenanzeige gegen B.________ wegen angeblicher Nötigung und Beschimpfung. Am 28. November 2023 stellte die Staatsanwaltschaft das Verfahren ein. Die gegen die Einstellung des Verfahrens wegen Nötigung erhobene Beschwerde wies das Obergericht des Kantons Zürich mit Beschluss vom 29. April 2024 ab. Der Beschwerdeführer gelangt dagegen mit Beschwerde in Strafsachen vom 29. Mai 2024 ans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4</w:t>
      </w:r>
    </w:p>
    <w:p>
      <w:r>
        <w:t>Der Beschwerdeführer führt bezüglich seiner Beschwerdelegitimation aus, der angefochtene Beschluss "wahre mannigfach [sein] Rechtsschutzinteresse [...] nicht". Er sei sowohl Opfer der Straftat als auch Privatkläger. Faktisch und rechtlich tangiere die Einstellungsverfügung vom 28. November 2023 bis zum heutigen Tag "die rechtlich zu schützenden Interessen des Beschwerdeführers und dessen Kindes", insbesondere sei als Folge der Strafverfahren sein Kontaktrecht provisorisch eingeschränkt worden. Die Einstellungsverfügung habe Auswirkungen auf seine "zivilrechtlichen Ansprüche", neben den familienrechtlichen Ansprüchen seien die Kostenfolgen durch das Strafverfahren "enorm". Mit diesen Ausführungen vermag der Beschwerdeführer - abgesehen davon, dass er die einschlägige Gesetzesbestimmung übersieht und auf den hier nicht anwendbaren Art. 382 Abs. 1 StPO verweist - keinen zivilrechtlichen Anspruch im Sinne von Art. 81 Abs. 1 lit. b Ziff. 5 BGG darzulegen, der ihn zur Beschwerde berechtigen würde. Dass aus der Straftat unmittelbar ein Schadenersatz- oder Genugtuungsanspruch entstanden sein soll, wird nicht einmal sinngemäss geltend gemacht. Beim vorliegend massgeblichen Delikt (Nötigung; angefochtener Beschluss E. II.3.1) ist dies auch nicht ohne Weiteres zu erkennen. Bei den vom Beschwerdeführer explizit angeführten "Kosten" - nämlich jenen des Strafverfahrens - handelt es sich ferner nicht um zivilrechtliche Ansprüche im angeführten Sinne. Die Beschwerde vermag den Begründungsanforderungen insgesamt offensichtlich nicht zu genügen, weshalb nicht auf diese eingetreten werden kann ( Art. 108 Abs. 1 lit. b BGG ).</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