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7B_604/2024 vom 12. August 2024</w:t>
      </w:r>
    </w:p>
    <w:p>
      <w:r>
        <w:t>Bundesgericht, 2024-08-12, FR</w:t>
      </w:r>
    </w:p>
    <w:p>
      <w:r>
        <w:rPr>
          <w:b/>
        </w:rPr>
        <w:t xml:space="preserve">Quelle: </w:t>
      </w:r>
      <w:r>
        <w:t>https://mcp.opencaselaw.ch/entscheid/bger_7B_604_2024</w:t>
      </w:r>
    </w:p>
    <w:p>
      <w:r>
        <w:t>FR: TF 7B_604/2024 du 12 août 2024</w:t>
      </w:r>
    </w:p>
    <w:p>
      <w:r>
        <w:t>IT: TF 7B_604/2024 del 12 agosto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l'espèce, l'autorité précédente a considéré, d'une part, que la demande de mise sous scellés du 3 avril 2024 était tardive et, d'autre part, que le recourant ne rendait pas vraisemblable l'existence d'un secret protégé au sens de l' art. 264 CPP , faute de motivation suffisante. Sur ce dernier point, le recourant avançait en effet pour seuls arguments qu'il existait dans les données saisies des éléments n'ayant aucun lien avec la procédure et qu'il occupait la fonction de pasteur, ce qui ne ressortait pas du dossier et n'était nullement étayé ou documenté par l'intéressé (cf. ordonnance attaquée, p. 2 s.).</w:t>
      </w:r>
    </w:p>
    <w:p>
      <w:r>
        <w:rPr>
          <w:b/>
        </w:rPr>
        <w:t>E. 1.3</w:t>
      </w:r>
    </w:p>
    <w:p>
      <w:r>
        <w:t>Face à la motivation cantonale, le recourant se limite à se plaindre d'une erreur d'adressage, afin de démontrer qu'il aurait été "parfaitement dans les délais de réponse", et à alléguer qu'il ne pouvait pas fournir les adresses de messagerie électronique des plaignants en raison de la perquisition qui avait été effectuée. Il soutient en outre que l'affaire ne serait pas de nature pénale pour s'opposer à la levée des scellés. Ce faisant, le recourant ne critique pas, par une motivation conforme aux exigences en la matière, un des motifs ressortant de l'ordonnance attaquée - à savoir que sa demande était insuffisamment motivée - et qui, à lui seul, fonde la décision entreprise de levée des scellés.</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