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59/2023 vom 12. Oktober 2023</w:t>
      </w:r>
    </w:p>
    <w:p>
      <w:r>
        <w:t>Bundesgericht, 2023-10-12, DE</w:t>
      </w:r>
    </w:p>
    <w:p>
      <w:r>
        <w:rPr>
          <w:b/>
        </w:rPr>
        <w:t xml:space="preserve">Quelle: </w:t>
      </w:r>
      <w:r>
        <w:t>https://mcp.opencaselaw.ch/entscheid/bger_7B_59_2023</w:t>
      </w:r>
    </w:p>
    <w:p>
      <w:r>
        <w:t>FR: TF 7B 59/2023 du 12 octobre 2023</w:t>
      </w:r>
    </w:p>
    <w:p>
      <w:r>
        <w:t>IT: TF 7B 59/2023 del 12 ottobre 2023</w:t>
      </w:r>
    </w:p>
    <w:p>
      <w:pPr>
        <w:pStyle w:val="Heading2"/>
      </w:pPr>
      <w:r>
        <w:t>Regeste</w:t>
      </w:r>
    </w:p>
    <w:p>
      <w:r>
        <w:t>Strafverfahren; Entsiegelung | Strafprozess</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Diese Voraussetzung ist vorliegend erfüllt, indem der Beschwerdeführer geltend macht, die angeordnete Entsiegelung betreffe auch Anwaltskorrespondenz.</w:t>
      </w:r>
    </w:p>
    <w:p>
      <w:r>
        <w:rPr>
          <w:b/>
        </w:rPr>
        <w:t>E. 1.3</w:t>
      </w:r>
    </w:p>
    <w:p>
      <w:r>
        <w:t>Der Beschwerdeführer ist als beschuldigte Person zur Beschwerde legitimiert (Art. 81 Abs. 1 lit. a und b Ziff. 1 BGG). Die Staatsanwaltschaft stellt in ihrer Vernehmlassung das rechtlich geschützte Interesse des Beschwerdeführers in Frage ( Art. 81 Abs. 1 lit. b BGG ). Sie argumentiert, das Zwangsmassnahmengericht habe zwar nicht ausdrücklich verfügt, dass die Anwaltskorrespondenz auszusondern sei. Der Staatsanwaltschaft sei es jedoch ohnehin untersagt, jegliche Korrespondenz zwischen Anwälten und dem Beschuldigten zu sichten und es sei dem Beschwerdeführer zugesichert worden, dass allfällige Anwaltskorrespondenz ausgesondert werde. Dieser Einwand ist unbegründet. Die Staatsanwaltschaft übersieht, dass die Triage von geheimnisgeschützten Aufzeichnungen nach der Rechtsprechung nicht an die Staatsanwaltschaft oder Polizei delegiert werden darf, sondern einzig und allein dem Zwangsmassnahmengericht obliegt ( BGE 142 IV 372 E. 3.1). Auf die Beschwerde ist einzutreten.</w:t>
      </w:r>
    </w:p>
    <w:p>
      <w:r>
        <w:rPr>
          <w:b/>
        </w:rPr>
        <w:t>E. 2</w:t>
      </w:r>
    </w:p>
    <w:p>
      <w:r>
        <w:t>Der Beschwerdeführer rügt zunächst, die Staatsanwaltschaft habe in unzulässiger Weise die Vornahme einer vorsorglichen Datensicherung der sichergestellten Mobiltelefone durch die Kantonspolizei Zürich angeordnet und damit Art. 248 StPO verletzt.</w:t>
      </w:r>
    </w:p>
    <w:p>
      <w:r>
        <w:rPr>
          <w:b/>
        </w:rPr>
        <w:t>E. 2.1</w:t>
      </w:r>
    </w:p>
    <w:p>
      <w:r>
        <w:t>Nach der publizierten Rechtsprechung des Bundesgerichts darf eine Sicherung respektive Spiegelung von Daten im Entsiegelungsverfahren nicht durch die Untersuchungsbehörde veranlasst bzw. einer von ihr beauftragten und damit auch weisungsgebundenen Person oder Behörde übertragen werden. Geht ein Siegelungsgesuch ein, sind vielmehr die betreffenden Unterlagen bzw. wie hier elektronischen Geräte unverzüglich zu siegeln. Erweist sich eine Kopie der Daten zum Schutz vor Verlust oder aus einem sonstigen Grund für das weitere Verfahren als angebracht, hat die Untersuchungsbehörde nach der Siegelung der Datenträger beim Zwangsmassnahmengericht ein entsprechendes Spiegelungsgesuch zu stellen ( BGE 148 IV 221 E. 2.6). Bei Dringlichkeit kann ein solches Gesuch auch superprovisorisch gestellt werden. Ob von sichergestellten und gesiegelten Unterlagen oder elektronischen Datenträgern in unzulässiger Weise eine Datensicherung erstellt wurde, ist nach der zitierten Rechtsprechung keine (grundsätzlich dem Sachgericht überlassene) Frage der Beweisverwertung, sondern der Rechtmässigkeit und des Fortgangs des Entsiegelungsverfahrens. Bei schweren Verfahrensmängeln ist eine Fortsetzung des Entsiegelungsverfahrens ausgeschlossen und das Entsiegelungsbegehren abzuweisen ( BGE 148 IV 221 E. 4).</w:t>
      </w:r>
    </w:p>
    <w:p>
      <w:r>
        <w:rPr>
          <w:b/>
        </w:rPr>
        <w:t>E. 2.2</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135 II 145 E. 8.2; 119 IV 284 E. 5b; Urteil 1B_206/2023 vom 12. Mai 2022 E. 3.1; je mit Hinweisen).</w:t>
      </w:r>
    </w:p>
    <w:p>
      <w:r>
        <w:rPr>
          <w:b/>
        </w:rPr>
        <w:t>E. 2.3</w:t>
      </w:r>
    </w:p>
    <w:p>
      <w:r>
        <w:t>Die Vorinstanz hält bezüglich der Zulässigkeit der veranlassten Datensicherung einzig fest, diese (mit separater Beschwerde auch dem Obergericht unterbreitete) Frage sei von der im vorliegenden Verfahren zu beantwortenden Frage nach der Entsiegelung der Datenträger "zu unterscheiden", ohne die dargestellte Rechtsprechung zu erwähnen. Entsprechend enthält der angefochtene Entscheid weder in tatsächlicher noch in rechtlicher Hinsicht (weitere) Ausführungen zur Frage, ob das Entsiegelungsverfahrens angesichts der vorsorglichen Datensicherung weitergeführt werden kann. Unter diesen Umständen erlaubt es das angefochtene Urteil nicht, die korrekte Rechtsanwendung zu überprüfen.</w:t>
      </w:r>
    </w:p>
    <w:p>
      <w:r>
        <w:rPr>
          <w:b/>
        </w:rPr>
        <w:t>E. 2.4</w:t>
      </w:r>
    </w:p>
    <w:p>
      <w:r>
        <w:t>Genügt ein Entscheid wie vorliegend den Anforderungen gemäss Art. 112 Abs. 1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Die angefochtene Verfügung ist somit aufzuheben und die Sache an die Vorinstanz zurückzuweisen, damit diese einen den Anforderungen von Art. 112 Abs. 1 BGG genügenden Entscheid trifft. Vor diesem Hintergrund erübrigt es sich, auf die Rügen des Beschwerdeführers in der Sache einzugehen.</w:t>
      </w:r>
    </w:p>
    <w:p>
      <w:r>
        <w:rPr>
          <w:b/>
        </w:rPr>
        <w:t>E. 3</w:t>
      </w:r>
    </w:p>
    <w:p>
      <w:r>
        <w:t>Nach dem Ausgeführten ist die Beschwerde gutzuheissen, die angefochtene Verfügung aufzuheben und die Sache an die Vorinstanz zurückzuweisen zu neuem Entscheid im Sinne der Erwägungen. Bei diesem Ausgang des Verfahrens sind keine Gerichtskosten zu erheben ( Art. 66 Abs. 1 und 4 BGG ). Der Kanton Zürich hat dem obsiegenden Beschwerdeführer eine angemessene Parteientschädigung zu bezahlen ( Art. 68 BGG ). Diese ist praxisgemäss seiner Rechtsvertreterin auszurichten.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