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7B_597/2025 vom 29. Juli 2025</w:t>
      </w:r>
    </w:p>
    <w:p>
      <w:r>
        <w:t>Bundesgericht, 2025-07-29, FR</w:t>
      </w:r>
    </w:p>
    <w:p>
      <w:r>
        <w:rPr>
          <w:b/>
        </w:rPr>
        <w:t xml:space="preserve">Quelle: </w:t>
      </w:r>
      <w:r>
        <w:t>https://mcp.opencaselaw.ch/entscheid/bger_7B_597_2025</w:t>
      </w:r>
    </w:p>
    <w:p>
      <w:r>
        <w:t>FR: TF 7B_597/2025 du 29 juillet 2025</w:t>
      </w:r>
    </w:p>
    <w:p>
      <w:r>
        <w:t>IT: TF 7B_597/2025 del 29 luglio 2025</w:t>
      </w:r>
    </w:p>
    <w:p>
      <w:pPr>
        <w:pStyle w:val="Heading2"/>
      </w:pPr>
      <w:r>
        <w:t>Erwägungen</w:t>
      </w:r>
    </w:p>
    <w:p>
      <w:r>
        <w:rPr>
          <w:b/>
        </w:rPr>
        <w:t>E. 1</w:t>
      </w:r>
    </w:p>
    <w:p>
      <w:r>
        <w:t>Selon l' art. 40 al. 1 LTF , en matière civile et en matière pénale, seuls ont qualité pour agir comme mandataires devant le Tribunal fédéral les avocats autorisés à pratiquer la représentation en justice en vertu de la loi fédérale du 23 juin 2000 sur la libre circulation des avocats (LLCA; RS 935.61) ou d'un traité international. En l'occurrence, B.________ qui se prévaut d'une procuration en sa faveur n'expose pas, ni n'établit, qu'il disposerait de la qualité pour agir comme mandataire de son épouse A.________ en matière pénale devant le Tribunal fédéral conformément à cette dernière disposition, voire en vertu d'une représentation légale. Ce point peut toutefois souffrir de demeurer indécis, dans la mesure où, comme on le verra ci-après, le recours doit de toute manière être déclaré irrecevable pour d'autres motifs.</w:t>
      </w:r>
    </w:p>
    <w:p>
      <w:r>
        <w:rPr>
          <w:b/>
        </w:rPr>
        <w:t>E. 2.1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2.2</w:t>
      </w:r>
    </w:p>
    <w:p>
      <w:r>
        <w:t>En l'espèce, la cour cantonale a constaté que l'ordonnance du TMC du 11 avril 2025 avait été notifiée à la défenseure obligatoire de A.________ en date du 14 avril 2025, de sorte que le délai de 10 jours pour recourir à son encontre était arrivé à échéance le 24 avril 2025 (cf. art. 384 let. b CPP ). Aussi, elle a considéré que l'acte de recours cantonal, qui été remis à la poste norvégienne le 5 mai 2025 et était arrivé en Suisse le 9 mai 2025 seulement, était tardif (arrêt attaqué, consid. 1.3 p. 5).</w:t>
      </w:r>
    </w:p>
    <w:p>
      <w:r>
        <w:rPr>
          <w:b/>
        </w:rPr>
        <w:t>E. 2.3</w:t>
      </w:r>
    </w:p>
    <w:p>
      <w:r>
        <w:t>Face à la motivation cantonale, la partie recourante se borne essentiellement à soulever des éléments en lien avec le fond du litige (soit la mise en détention provisoire), alors que l'objet de la contestation portée devant le Tribunal fédéral est strictement circonscrit par l'arrêt attaqué (cf. art. 80 al. 1 LTF ), soit par la décision d'irrecevabilité pour tardiveté. Elle se limite pour le surplus à recourir en raison "du blocage postal indépendant du recourant, confirmé par la poste norvégienne et les suivis", d'une "obstruction des communications entre la recourante et son mandataire", d'une "inaction de l'avocate d'office". On ignore toutefois si ces motifs se rapportent à la recevabilité du présent recours ou s'ils concernent l'arrêt attaqué. La recourante, qui ne développe pas plus avant ces derniers griefs, n'articule en tout état aucune critique, conforme aux exigences de motivation en la matière, susceptible d'établir en quoi l'autorité précédente aurait violé le droit fédéral (soit en particulier les ar t. 85, 87, 90 s. et 384 CPP) en n'entrant pas en matière sur son recours cantonal.</w:t>
      </w:r>
    </w:p>
    <w:p>
      <w:r>
        <w:rPr>
          <w:b/>
        </w:rPr>
        <w:t>E. 2.4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3</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