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7B_596/2025 vom 15. September 2025</w:t>
      </w:r>
    </w:p>
    <w:p>
      <w:r>
        <w:t>Bundesgericht, 2025-09-15, FR</w:t>
      </w:r>
    </w:p>
    <w:p>
      <w:r>
        <w:rPr>
          <w:b/>
        </w:rPr>
        <w:t xml:space="preserve">Quelle: </w:t>
      </w:r>
      <w:r>
        <w:t>https://mcp.opencaselaw.ch/entscheid/bger_7B_596_2025</w:t>
      </w:r>
    </w:p>
    <w:p>
      <w:r>
        <w:t>FR: TF 7B_596/2025 du 15 septembre 2025</w:t>
      </w:r>
    </w:p>
    <w:p>
      <w:r>
        <w:t>IT: TF 7B_596/2025 del 15 settembre 2025</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les conditions de l' art. 132 al. 1 let. b CPP n'étaient pas réunies, faute pour le recourant d'avoir établi à satisfaction son indigence. Elle a relevé à cet égard que les motifs de l'ordonnance du Ministère public du 15 avril 2025 étaient détaillés et convaincants. Il appartenait en effet à celui qui se prétendait indigent de l'établir en fournissant toutes les pièces nécessaires. Or le recourant ne fournissait aucun document susceptible d'étayer ses différentes allégations contenues dans son mémoire de recours cantonal, soit celles en lien notamment avec un bug informatique bancaire, la titularité du compte de sa fille, son contrat de vente d'un véhicule, la décision de remboursement des impôts et la décision d'attribution du domicile familial à son épouse (cf. arrêt attaqué, consid. 2.3 p. 6 s.).</w:t>
      </w:r>
    </w:p>
    <w:p>
      <w:r>
        <w:rPr>
          <w:b/>
        </w:rPr>
        <w:t>E. 1.3</w:t>
      </w:r>
    </w:p>
    <w:p>
      <w:r>
        <w:t>Face à la motivation cantonale, le recourant se limite à rappeler les "circonstances factuelles" qui l'auraient amené à mandater "un cabinet d'avocats" pour assurer sa défense. Il estime avoir agi de bonne foi, convaincu que sa défense était obligatoire et que "l'assistance judiciaire" lui serait accordée au vu de sa situation personnelle "marquée par une précarité manifeste". Il conteste la constatation selon laquelle sa requête tendant à la désignation d'un défenseur d'office était incomplète, dans la mesure où une liste formelle des pièces idoines ne lui aurait pas été communiquée par les autorités judiciaires. Le recourant indique avoir transmis à sa mandataire l'intégralité des documents qu'elle lui avait réclamés. Il estime avoir été tant diligent que transparent et avoir fait montre d'une volonté sincère de coopérer avec les institutions judiciaires.</w:t>
      </w:r>
    </w:p>
    <w:p>
      <w:r>
        <w:t>Ce faisant, le recourant n'articule toutefois aucune critique, conforme aux exigences en la matière, susceptible de démontrer que l'autorité précédente aurait violé le droit fédéral (soit l' art. 132 CPP ) en rejetant son recours cantonal. Il ne revient en particulier pas sur le fait que sa mandataire était intervenue comme défenseure de choix avant de requérir sa désignation en qualité de défenseure d'office (cf. arrêt attaqué, partie "En fait" let. A.c et B p. 2 s.), de sorte que sa désignation ne pouvait pas être ordonnée selon l' art. 132 al. 1 let. b CPP faute pour le recourant d'établir son indigence (cf. arrêt 7B_1270/2024 du 4 mars 2025 consid. 4.2.1 et les réf. citées). À cet égard, le recourant n'expose pas en quoi les pièces produites au Ministère public - par le truchement de son conseil - auraient été suffisantes. Il ne conteste en outre pas avoir omis de produire quelque document que ce soit pour étayer les allégations contenues dans son mémoire de recours cantonal. Il en va finalement de même de ses griefs en lien avec une prétendue violation de ses droits fondamentaux, pour lesquels le recourant ne respecte pas son devoir accru de motivation.</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