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7B_593/2025 vom 18. September 2025</w:t>
      </w:r>
    </w:p>
    <w:p>
      <w:r>
        <w:t>Bundesgericht, 2025-09-18, DE</w:t>
      </w:r>
    </w:p>
    <w:p>
      <w:r>
        <w:rPr>
          <w:b/>
        </w:rPr>
        <w:t xml:space="preserve">Quelle: </w:t>
      </w:r>
      <w:r>
        <w:t>https://mcp.opencaselaw.ch/entscheid/bger_7B_593_2025</w:t>
      </w:r>
    </w:p>
    <w:p>
      <w:r>
        <w:t>FR: TF 7B_593/2025 du 18 septembre 2025</w:t>
      </w:r>
    </w:p>
    <w:p>
      <w:r>
        <w:t>IT: TF 7B_593/2025 del 18 settembre 2025</w:t>
      </w:r>
    </w:p>
    <w:p>
      <w:pPr>
        <w:pStyle w:val="Heading2"/>
      </w:pPr>
      <w:r>
        <w:t>Erwägungen</w:t>
      </w:r>
    </w:p>
    <w:p>
      <w:r>
        <w:rPr>
          <w:b/>
        </w:rPr>
        <w:t>E. 1.1</w:t>
      </w:r>
    </w:p>
    <w:p>
      <w:r>
        <w:t>Angefochten ist ein kantonal letztinstanzlicher Nichteintretensentscheid in Strafsachen. Dagegen steht die Beschwerde in Strafsachen nach Art. 78 ff. BGG grundsätzlich offen. Die Vorinstanz ist auf die Beschwerde der Beschwerdeführerin betreffend Wechsel der amtlichen Verteidigung nicht eingetreten und hat diese materiell nicht behandelt. Streitgegenstand des bundesgerichtlichen Beschwerdeverfahrens ist daher grundsätzlich einzig die Frage, ob dieser Nichteintretensentscheid zu Recht erfolgt ist.</w:t>
      </w:r>
    </w:p>
    <w:p>
      <w:r>
        <w:rPr>
          <w:b/>
        </w:rPr>
        <w:t>E. 1.2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2</w:t>
      </w:r>
    </w:p>
    <w:p>
      <w:r>
        <w:t>Die Beschwerdeführerin setzt sich nicht ansatzweise mit den Erwägungen der Vorinstanz auseinander, mit denen diese ihr Nichteintreten auf die kantonale Beschwerde begründet hat. Sie legt nicht dar, weshalb die Vorinstanz auf ihre Beschwerde hätte eintreten müssen. Stattdessen legt sie sinngemäss ihre Rechtsauffassung zu den Voraussetzungen für einen Wechsel der amtlichen Verteidigung dar und versucht aufzuzeigen, weshalb sie keinen Anwalt benötige. Sodann äussert sie sich zu den angeblich unnötigen Kosten, die durch den ihr beigegebenen Anwalt generiert worden seien, obwohl sie diverse Verfahren "ohne das Zutun von anwaltlicher Hilfe" gewonnen habe. Sie macht ein "degrading treatment" geltend und führt aus, die Fortsetzung der Pflichtverteidigung verschärfe ihre finanzielle Not und sei eine "Quelle systematischer Menschenrechtsverletzung". Solche appellatorische Kritik genügt den dargelegten Begründungsanforderungen jedoch von vornherein nicht, weshalb auf die Beschwerde nicht einzutreten ist.</w:t>
      </w:r>
    </w:p>
    <w:p>
      <w:r>
        <w:rPr>
          <w:b/>
        </w:rPr>
        <w:t>E. 3.1</w:t>
      </w:r>
    </w:p>
    <w:p>
      <w:r>
        <w:t>Die Beschwerdeführerin behauptet jedoch zudem, ihr Anspruch auf rechtliches Gehör sei verletzt worden. Zur Begründung bringt sie vor, die Vorinstanz habe ihr keine Möglichkeit zur Replik auf die Eingaben der Staatsanwaltschaft und des Bezirksgerichts eingeräumt.</w:t>
      </w:r>
    </w:p>
    <w:p>
      <w:r>
        <w:rPr>
          <w:b/>
        </w:rPr>
        <w:t>E. 3.2</w:t>
      </w:r>
    </w:p>
    <w:p>
      <w:r>
        <w:t>Der Anspruch auf rechtliches Gehör ( Art. 29 Abs. 2 BV ) umfasst auch das Recht, von allen beim Gericht zu den Akten erkannten Eingaben und den dazugehörigen Beilagen Kenntnis zu erhalten und sich dazu äussern zu können ( BGE 138 I 154 E. 2.3.3 ; 137 I 195 E. 2.3.1). Die Wahrnehmung des rechtlichen Gehörs setzt folglich die Zustellung sämtlicher Eingaben an jede Partei voraus. Das Bundesgericht hat wiederholt festgehalten, dass den Verfahrensbeteiligten ein Anspruch auf Zustellung der Vernehmlassungen zusteht, unabhängig davon, ob diese Eingaben neue und erhebliche Gesichtspunkte enthalten. Grundsätzlich führt die Verletzung dieses Anspruchs ungeachtet der materiellen Begründetheit des Rechtsmittels zur Gutheissung der Beschwerde und zur Aufhebung des angefochtenen Entscheids ( BGE 143 IV 380 E. 1.4.1; 142 II 218 E. 2.8.1 ; 135 I 187 E. 2.2), wenn eine Heilung in oberer Instanz ausser Betracht fällt (zu den Voraussetzungen: BGE 142 II 218 E. 2.8.1).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Andernfalls besteht die Gefahr, dass die Rückweisung der Sache an die Vorinstanz allein wegen der festgestellten Gehörsverletzung zu einem Leerlauf und einer unnötigen Verzögerung führt.</w:t>
      </w:r>
    </w:p>
    <w:p>
      <w:r>
        <w:rPr>
          <w:b/>
        </w:rPr>
        <w:t>E. 3.3</w:t>
      </w:r>
    </w:p>
    <w:p>
      <w:r>
        <w:t>Die Beschwerdeführerin macht zu Recht geltend, dass die Vorinstanz ihr die Eingaben der Staatsanwaltschaft (Antrag auf Abweisung der Beschwerde) und des Bezirksgerichts (Verzicht auf Stellungnahme) nicht vorab, sondern erst zusammen mit dem Beschluss vom 19. Juni 2025 zugestellt hat. Dies geht auch aus dem angefochtenen Beschluss und den Ausführungen der Vorinstanz hervor. Damit hat die Vorinstanz der Beschwerdeführerin keine Möglichkeit zur Replik zuteilwerden lassen. Mit ihrem Vorgehen hat die Vorinstanz das Replikrecht der Beschwerdeführerin und damit den Anspruch auf rechtliches Gehör und auf ein faires Gerichtsverfahren verletzt. Daran ändern auch die Ausführungen der Vorinstanz nichts, wonach es sich um die Beurteilung einer reinen Rechtsfrage gehandelt habe. Folglich ist festzustellen, dass die Vorinstanz das rechtliche Gehör der Beschwerdeführerin verletzt hat.</w:t>
      </w:r>
    </w:p>
    <w:p>
      <w:r>
        <w:rPr>
          <w:b/>
        </w:rPr>
        <w:t>E. 3.4</w:t>
      </w:r>
    </w:p>
    <w:p>
      <w:r>
        <w:t>Im vorliegenden Fall legt die Beschwerdeführerin jedoch nicht dar, und es ist auch nicht ersichtlich, dass die ordnungsgemässe Gewährung des Replikrechts irgendeinen Einfluss auf den Ausgang des Verfahrens gehabt hätte. Wie die Vorinstanz festhält, haben sich die kantonalen Behörden zur Eintretensfrage nicht geäussert. Unter diesen Umständen rechtfertigt es sich nicht, den angefochtenen Nichteintretensentscheid allein aufgrund der festgestellten Gehörsverletzung aufzuheben. Eine Rückweisung würde lediglich dazu führen, dass die Vorinstanz nach Gewährung einer Replikmöglichkeit denselben Nichteintretensentscheid fällen könnte. Dies würde zu einem Leerlauf und einer unnötigen Verzögerung des Verfahrens führen.</w:t>
      </w:r>
    </w:p>
    <w:p>
      <w:r>
        <w:rPr>
          <w:b/>
        </w:rPr>
        <w:t>E. 4</w:t>
      </w:r>
    </w:p>
    <w:p>
      <w:r>
        <w:t>Die Beschwerde ist teilweise gutzuheissen, und es ist eine Verletzung des rechtlichen Gehörs durch die Vorinstanz festzustellen. Im Übrigen ist auf Beschwerde nicht einzutreten.</w:t>
      </w:r>
    </w:p>
    <w:p>
      <w:r>
        <w:t>Bei diesem Ausgang des Verfahrens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