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7B_591/2024 vom 10. Juli 2024</w:t>
      </w:r>
    </w:p>
    <w:p>
      <w:r>
        <w:t>Bundesgericht, 2024-07-10, FR</w:t>
      </w:r>
    </w:p>
    <w:p>
      <w:r>
        <w:rPr>
          <w:b/>
        </w:rPr>
        <w:t xml:space="preserve">Quelle: </w:t>
      </w:r>
      <w:r>
        <w:t>https://mcp.opencaselaw.ch/entscheid/bger_7B_591_2024</w:t>
      </w:r>
    </w:p>
    <w:p>
      <w:r>
        <w:t>FR: TF 7B_591/2024 du 10 juillet 2024</w:t>
      </w:r>
    </w:p>
    <w:p>
      <w:r>
        <w:t>IT: TF 7B_591/2024 del 10 luglio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la recourante ne dit mot, dans son recours, au sujet d'éventuelles prétentions civiles envers la ou les personnes contre lesquelles elle a déposé plainte pénale pour faux dans les titres, soit en particulier contre le Président de la Cour de justice qui a été le signataire d'un arrêt rendu le 5 septembre 2023 la concernant. De surcroît, cette dernière personne est un magistrat et les faits dénoncés par la recourante se rapportent au comportement que celui-ci aurait adopté dans l'exercice de sa fonction. La recourante ne disposerait ainsi, de toute manière, que de prétentions de droit public à faire valoir non pas contre l'auteur présumé, mais contre l'État (cf. art. 61 al. 1 CO ; art. 1 et 2 de la loi genevoise du 24 février 1989 sur la responsabilité de l'État et des communes [LREC; RS/GE A 2 40]); celles-ci ne peuvent pas être invoquées dans le procès pénal par voie d'adhésion et ne constituent donc pas des prétentions civiles au sens de l' art. 81 LTF ( ATF 146 IV 76 consid. 3.1; 138 IV 86 consid. 3.1).</w:t>
      </w:r>
    </w:p>
    <w:p>
      <w:r>
        <w:t>La recourante ne démontre par conséquent pas avoir qualité pour recourir sur le fond en application de l'art. 81 al. 1 let. a et b ch. 5 LTF.</w:t>
      </w:r>
    </w:p>
    <w:p>
      <w:r>
        <w:rPr>
          <w:b/>
        </w:rPr>
        <w:t>E. 2</w:t>
      </w:r>
    </w:p>
    <w:p>
      <w:r>
        <w:t>La recourante ne soulève par ailleurs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prévue par l' art. 108 al. 1 let. a LTF . 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La recourante,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